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焦艳鹏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华东政法大学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中国法学会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环境资源法学</w:t>
      </w:r>
      <w:r>
        <w:rPr>
          <w:rFonts w:hint="eastAsia" w:eastAsia="仿宋_GB2312"/>
          <w:b/>
          <w:bCs/>
          <w:sz w:val="32"/>
          <w:szCs w:val="32"/>
          <w:u w:val="single"/>
        </w:rPr>
        <w:t>研究会</w:t>
      </w: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中国法学会警察法学研究会</w:t>
      </w: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华东政法大学</w:t>
      </w:r>
    </w:p>
    <w:p>
      <w:pPr>
        <w:snapToGrid w:val="0"/>
        <w:ind w:firstLine="642" w:firstLineChars="200"/>
        <w:rPr>
          <w:rFonts w:hint="eastAsia" w:eastAsia="仿宋_GB2312"/>
          <w:b/>
          <w:bCs/>
          <w:sz w:val="32"/>
          <w:szCs w:val="32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HYPERLINK "mailto:本表电子版发至邮箱qnfxj2016@126.com"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人：魏丽莎 于晓航  010-66</w:t>
      </w:r>
      <w:r>
        <w:rPr>
          <w:rFonts w:ascii="仿宋" w:hAnsi="仿宋" w:eastAsia="仿宋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spacing w:val="-6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邮寄地址：</w:t>
      </w:r>
      <w:r>
        <w:rPr>
          <w:rFonts w:hint="eastAsia" w:ascii="仿宋" w:hAnsi="仿宋" w:eastAsia="仿宋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宋体" w:hAnsi="宋体"/>
          <w:b/>
          <w:bCs/>
          <w:sz w:val="24"/>
        </w:rPr>
      </w:pPr>
      <w:r>
        <w:rPr>
          <w:rFonts w:hint="eastAsia" w:ascii="仿宋" w:hAnsi="仿宋" w:eastAsia="仿宋"/>
          <w:sz w:val="28"/>
          <w:szCs w:val="28"/>
        </w:rPr>
        <w:t>电子邮箱：qnfxj2022@163.com</w:t>
      </w:r>
    </w:p>
    <w:tbl>
      <w:tblPr>
        <w:tblStyle w:val="5"/>
        <w:tblpPr w:leftFromText="180" w:rightFromText="180" w:vertAnchor="text" w:horzAnchor="page" w:tblpX="1728" w:tblpY="-227"/>
        <w:tblOverlap w:val="never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174"/>
        <w:gridCol w:w="1206"/>
        <w:gridCol w:w="201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184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21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 w:val="24"/>
              </w:rPr>
            </w:pPr>
            <w:bookmarkStart w:id="1" w:name="_GoBack"/>
            <w:r>
              <w:rPr>
                <w:rFonts w:hint="eastAsia" w:ascii="宋体" w:hAnsi="宋体"/>
                <w:b/>
                <w:sz w:val="24"/>
              </w:rPr>
              <w:t>焦艳鹏</w:t>
            </w:r>
            <w:bookmarkEnd w:id="1"/>
          </w:p>
        </w:tc>
        <w:tc>
          <w:tcPr>
            <w:tcW w:w="120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男</w:t>
            </w:r>
          </w:p>
        </w:tc>
        <w:tc>
          <w:tcPr>
            <w:tcW w:w="216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drawing>
                <wp:inline distT="0" distB="0" distL="0" distR="0">
                  <wp:extent cx="939800" cy="1346200"/>
                  <wp:effectExtent l="0" t="0" r="0" b="6350"/>
                  <wp:docPr id="4" name="图片 4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出生日期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1979年6月14日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汉族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中共党员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博士研究生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技术职称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教授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[专业技术三级岗</w:t>
            </w:r>
            <w:r>
              <w:rPr>
                <w:rFonts w:ascii="宋体" w:hAnsi="宋体"/>
                <w:b/>
                <w:sz w:val="18"/>
                <w:szCs w:val="18"/>
              </w:rPr>
              <w:t>]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722" w:firstLineChars="3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无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华东政法大学中国环境犯罪治理研究中心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756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上海市长宁区万航渡路1575号格致楼308室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184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spacing w:line="240" w:lineRule="exact"/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焦艳鹏教授长期专注于环境刑法学等前沿问题研究，承担了国家社科基金重大项目、重点项目、青年项目等高水平项目，累计完成学术作品近百万字，包括多部著作书稿，在《中国社会科学》等顶尖级与核心刊物发表学术论文30多篇，其中引用率超过50的代表性论文超十篇，研究成果先后获董必武奖、孙国华奖、方德法治研究奖等行业内重要奖励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 w:line="400" w:lineRule="exact"/>
              <w:ind w:left="442" w:hanging="442" w:firstLineChars="0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代表性著作：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1.焦艳鹏著：《刑法生态法益论》，中国政法大学出版社，2012年。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2.焦艳鹏著：《环境刑事司法效能论》，北京大学出版社（已交稿并签出版合同）。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3.焦艳鹏著：《生态文明刑法保障论》，北京大学出版社（已交稿并签出版合同）。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4.焦艳鹏主编：《环境法典编撰视野下的环境法效能研究》，法律出版社，2021年。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5.吕忠梅总主编、焦艳鹏执行主编：《绿典之路：中国环境法典研究文丛》（五卷本），法律出版社，2021年。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焦艳鹏：“2015-2021年中国环境资源犯罪分析系列报告”，载吕忠梅等著大型第三方年度评估报告《中国环境司法发展报告》，已由人民法院出版社、法律出版社出版2015-2017年卷、2018年卷、2019年卷、2020年卷四卷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56" w:afterLines="50" w:line="400" w:lineRule="exact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二、代表性论文10篇（注：</w:t>
            </w:r>
            <w:r>
              <w:rPr>
                <w:rFonts w:hint="eastAsia" w:ascii="宋体" w:hAnsi="宋体"/>
                <w:b/>
                <w:sz w:val="24"/>
              </w:rPr>
              <w:t>中国知网引用率超过50的论文，检索时间2023年2月20日）</w:t>
            </w:r>
            <w:r>
              <w:rPr>
                <w:rFonts w:hint="eastAsia" w:ascii="宋体" w:hAnsi="宋体"/>
                <w:b/>
                <w:bCs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1.焦艳鹏：《</w:t>
            </w:r>
            <w:r>
              <w:rPr>
                <w:rFonts w:ascii="宋体" w:hAnsi="宋体"/>
                <w:sz w:val="24"/>
              </w:rPr>
              <w:t>生态文明保障的刑法机制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中国社会科学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2017</w:t>
            </w:r>
            <w:r>
              <w:rPr>
                <w:rFonts w:hint="eastAsia" w:ascii="宋体" w:hAnsi="宋体"/>
                <w:sz w:val="24"/>
              </w:rPr>
              <w:t>第11期，知网引用率：100。</w:t>
            </w:r>
            <w:bookmarkStart w:id="0" w:name="_Hlk123992198"/>
            <w:r>
              <w:rPr>
                <w:rFonts w:hint="eastAsia" w:ascii="宋体" w:hAnsi="宋体"/>
                <w:sz w:val="24"/>
              </w:rPr>
              <w:t>【注：被《高等学校文科学术文摘》、《人大报刊复印资料》转载（全文），荣获方德法治研究奖】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2．焦艳鹏：《</w:t>
            </w:r>
            <w:r>
              <w:rPr>
                <w:rFonts w:ascii="宋体" w:hAnsi="宋体"/>
                <w:sz w:val="24"/>
              </w:rPr>
              <w:t>法益解释机能的司法实现——以污染环境罪的司法判定为线索</w:t>
            </w:r>
            <w:r>
              <w:rPr>
                <w:rFonts w:hint="eastAsia" w:ascii="宋体" w:hAnsi="宋体"/>
                <w:sz w:val="24"/>
              </w:rPr>
              <w:t>》，《现代法学》2014年第1期，知网引用率：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8。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【注：荣获孙国华奖】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3．焦艳鹏：《</w:t>
            </w:r>
            <w:r>
              <w:rPr>
                <w:rFonts w:ascii="宋体" w:hAnsi="宋体"/>
                <w:sz w:val="24"/>
              </w:rPr>
              <w:t>生态文明视野下生态法益的刑事法律保护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法学评论</w:t>
            </w:r>
            <w:r>
              <w:rPr>
                <w:rFonts w:hint="eastAsia" w:ascii="宋体" w:hAnsi="宋体"/>
                <w:sz w:val="24"/>
              </w:rPr>
              <w:t>》，2013年第3期，知网引用率：</w:t>
            </w:r>
            <w:r>
              <w:rPr>
                <w:rFonts w:ascii="宋体" w:hAnsi="宋体"/>
                <w:sz w:val="24"/>
              </w:rPr>
              <w:t>100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ascii="宋体" w:hAnsi="宋体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9" w:hRule="atLeast"/>
        </w:trPr>
        <w:tc>
          <w:tcPr>
            <w:tcW w:w="9184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焦艳鹏：《</w:t>
            </w:r>
            <w:r>
              <w:rPr>
                <w:rFonts w:ascii="宋体" w:hAnsi="宋体"/>
                <w:sz w:val="24"/>
              </w:rPr>
              <w:t>我国环境污染刑事判决阙如的成因与反思——基于相关资料的统计分析</w:t>
            </w:r>
            <w:r>
              <w:rPr>
                <w:rFonts w:hint="eastAsia" w:ascii="宋体" w:hAnsi="宋体"/>
                <w:sz w:val="24"/>
              </w:rPr>
              <w:t>》，《法学》，2013年第6期，知网引用率：</w:t>
            </w:r>
            <w:r>
              <w:rPr>
                <w:rFonts w:ascii="宋体" w:hAnsi="宋体"/>
                <w:sz w:val="24"/>
              </w:rPr>
              <w:t>94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【注：被《高等学校文科学术文摘》转载】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．</w:t>
            </w:r>
            <w:r>
              <w:rPr>
                <w:rFonts w:ascii="宋体" w:hAnsi="宋体"/>
                <w:sz w:val="24"/>
              </w:rPr>
              <w:t>吕忠梅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焦艳鹏</w:t>
            </w:r>
            <w:r>
              <w:rPr>
                <w:rFonts w:hint="eastAsia" w:ascii="宋体" w:hAnsi="宋体"/>
                <w:sz w:val="24"/>
              </w:rPr>
              <w:t>：《</w:t>
            </w:r>
            <w:r>
              <w:rPr>
                <w:rFonts w:ascii="宋体" w:hAnsi="宋体"/>
                <w:sz w:val="24"/>
              </w:rPr>
              <w:t>中国环境司法的基本形态、当前样态与未来发展——对《中国环境司法发展报告(2015—2017)》的解读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环境保护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2017</w:t>
            </w:r>
            <w:r>
              <w:rPr>
                <w:rFonts w:hint="eastAsia" w:ascii="宋体" w:hAnsi="宋体"/>
                <w:sz w:val="24"/>
              </w:rPr>
              <w:t>年第18期；知网引用率：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2。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．焦艳鹏：《</w:t>
            </w:r>
            <w:r>
              <w:rPr>
                <w:rFonts w:ascii="宋体" w:hAnsi="宋体"/>
                <w:sz w:val="24"/>
              </w:rPr>
              <w:t>自然资源的多元价值与国家所有的法律实现——对宪法第9条的体系性解读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法制与社会发展</w:t>
            </w:r>
            <w:r>
              <w:rPr>
                <w:rFonts w:hint="eastAsia" w:ascii="宋体" w:hAnsi="宋体"/>
                <w:sz w:val="24"/>
              </w:rPr>
              <w:t>》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>2017</w:t>
            </w:r>
            <w:r>
              <w:rPr>
                <w:rFonts w:hint="eastAsia" w:ascii="宋体" w:hAnsi="宋体"/>
                <w:sz w:val="24"/>
              </w:rPr>
              <w:t>年第1期，知网引用率：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9。【注：《人大报刊复印资料》全文转载】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7.</w:t>
            </w:r>
            <w:r>
              <w:rPr>
                <w:rFonts w:hint="eastAsia" w:ascii="宋体" w:hAnsi="宋体"/>
                <w:sz w:val="24"/>
              </w:rPr>
              <w:t>焦艳鹏：《</w:t>
            </w:r>
            <w:r>
              <w:rPr>
                <w:rFonts w:ascii="宋体" w:hAnsi="宋体"/>
                <w:sz w:val="24"/>
              </w:rPr>
              <w:t>我国污染环境犯罪刑法惩治全景透视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环境保护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2019</w:t>
            </w:r>
            <w:r>
              <w:rPr>
                <w:rFonts w:hint="eastAsia" w:ascii="宋体" w:hAnsi="宋体"/>
                <w:sz w:val="24"/>
              </w:rPr>
              <w:t>年第6期，知网引用率：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4。【注：被《人大复印资料》全文转载】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．焦艳鹏：《</w:t>
            </w:r>
            <w:r>
              <w:rPr>
                <w:rFonts w:ascii="宋体" w:hAnsi="宋体"/>
                <w:sz w:val="24"/>
              </w:rPr>
              <w:t>公民环境义务配置的依据与边界——以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宋体" w:hAnsi="宋体"/>
                <w:sz w:val="24"/>
              </w:rPr>
              <w:t>北京市生活垃圾管理条例》</w:t>
            </w:r>
            <w:r>
              <w:rPr>
                <w:rFonts w:hint="eastAsia" w:ascii="宋体" w:hAnsi="宋体"/>
                <w:sz w:val="24"/>
              </w:rPr>
              <w:t>为例》，《</w:t>
            </w:r>
            <w:r>
              <w:rPr>
                <w:rFonts w:ascii="宋体" w:hAnsi="宋体"/>
                <w:sz w:val="24"/>
              </w:rPr>
              <w:t>中国地质大学学报(社会科学版)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2013</w:t>
            </w:r>
            <w:r>
              <w:rPr>
                <w:rFonts w:hint="eastAsia" w:ascii="宋体" w:hAnsi="宋体"/>
                <w:sz w:val="24"/>
              </w:rPr>
              <w:t>年第6期，知网引用率：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sz w:val="24"/>
              </w:rPr>
              <w:t>．焦艳鹏：《</w:t>
            </w:r>
            <w:r>
              <w:rPr>
                <w:rFonts w:ascii="宋体" w:hAnsi="宋体"/>
                <w:sz w:val="24"/>
              </w:rPr>
              <w:t>污染环境罪因果关系的证明路径——以“2013年第15号司法解释”的适用为切入点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法学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2014</w:t>
            </w:r>
            <w:r>
              <w:rPr>
                <w:rFonts w:hint="eastAsia" w:ascii="宋体" w:hAnsi="宋体"/>
                <w:sz w:val="24"/>
              </w:rPr>
              <w:t>年第8期，知网引用率：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6。【注：荣获董必武奖】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．焦艳鹏、杨红梅：《</w:t>
            </w:r>
            <w:r>
              <w:rPr>
                <w:rFonts w:ascii="宋体" w:hAnsi="宋体"/>
                <w:sz w:val="24"/>
              </w:rPr>
              <w:t>网络诈骗犯罪刑事司法样态实证研究——以389份生效刑事判决书为分析对象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甘肃政法学院学报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2017</w:t>
            </w:r>
            <w:r>
              <w:rPr>
                <w:rFonts w:hint="eastAsia" w:ascii="宋体" w:hAnsi="宋体"/>
                <w:sz w:val="24"/>
              </w:rPr>
              <w:t>年第4期，知网引用率：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5。【注：被《人大复印资料》全文转载】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二、其它发表在核心期刊的21篇论文（</w:t>
            </w:r>
            <w:r>
              <w:rPr>
                <w:rFonts w:ascii="宋体" w:hAnsi="宋体"/>
                <w:b/>
                <w:bCs/>
                <w:sz w:val="24"/>
              </w:rPr>
              <w:t>CSSCI</w:t>
            </w:r>
            <w:r>
              <w:rPr>
                <w:rFonts w:hint="eastAsia" w:ascii="宋体" w:hAnsi="宋体"/>
                <w:b/>
                <w:bCs/>
                <w:sz w:val="24"/>
              </w:rPr>
              <w:t>及其扩展版与集刊）：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1.焦艳鹏：《领域型法典编纂中法律责任的设定》，《法制与社会发展》，2023年第1期；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2.焦艳鹏：《元宇宙生活场景中的利益识别与法律发展》，《东方法学》，2022年第5期；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3.焦艳鹏：《环境刑事责任的跨法典表达及其调适》，《法学评论》，2022年第3期；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4.焦艳鹏：《</w:t>
            </w:r>
            <w:r>
              <w:rPr>
                <w:rFonts w:ascii="宋体" w:hAnsi="宋体"/>
                <w:sz w:val="24"/>
              </w:rPr>
              <w:t>基于司法大数据的生态环境犯罪刑法惩治分析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 xml:space="preserve">重庆大学学报(社会科学版) </w:t>
            </w:r>
            <w:r>
              <w:rPr>
                <w:rFonts w:hint="eastAsia" w:ascii="宋体" w:hAnsi="宋体"/>
                <w:sz w:val="24"/>
              </w:rPr>
              <w:t>，2022年第5期；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5.焦艳鹏、</w:t>
            </w:r>
            <w:r>
              <w:rPr>
                <w:rFonts w:ascii="宋体" w:hAnsi="宋体"/>
                <w:sz w:val="24"/>
              </w:rPr>
              <w:t>刘葳</w:t>
            </w:r>
            <w:r>
              <w:rPr>
                <w:rFonts w:hint="eastAsia" w:ascii="宋体" w:hAnsi="宋体"/>
                <w:sz w:val="24"/>
              </w:rPr>
              <w:t>：《</w:t>
            </w:r>
            <w:r>
              <w:rPr>
                <w:rFonts w:ascii="宋体" w:hAnsi="宋体"/>
                <w:sz w:val="24"/>
              </w:rPr>
              <w:t>知识获取、人工智能与图书馆精神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中国图书馆学报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2021</w:t>
            </w:r>
            <w:r>
              <w:rPr>
                <w:rFonts w:hint="eastAsia" w:ascii="宋体" w:hAnsi="宋体"/>
                <w:sz w:val="24"/>
              </w:rPr>
              <w:t>年第5期。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6.焦艳鹏：《</w:t>
            </w:r>
            <w:r>
              <w:rPr>
                <w:rFonts w:ascii="宋体" w:hAnsi="宋体"/>
                <w:sz w:val="24"/>
              </w:rPr>
              <w:t>污染环境犯罪的司法效能提升与多元治理机制构建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中州学刊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2021</w:t>
            </w:r>
            <w:r>
              <w:rPr>
                <w:rFonts w:hint="eastAsia" w:ascii="宋体" w:hAnsi="宋体"/>
                <w:sz w:val="24"/>
              </w:rPr>
              <w:t>年第12期。【注：被《高等学校文科学术文摘》转载】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0" w:hRule="atLeast"/>
        </w:trPr>
        <w:tc>
          <w:tcPr>
            <w:tcW w:w="918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7.焦艳鹏：《</w:t>
            </w:r>
            <w:r>
              <w:rPr>
                <w:rFonts w:ascii="宋体" w:hAnsi="宋体"/>
                <w:sz w:val="24"/>
              </w:rPr>
              <w:t>环境法典编纂与中国特色社会主义法律体系的完善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湖南师范大学社会科学学报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2020</w:t>
            </w:r>
            <w:r>
              <w:rPr>
                <w:rFonts w:hint="eastAsia" w:ascii="宋体" w:hAnsi="宋体"/>
                <w:sz w:val="24"/>
              </w:rPr>
              <w:t>年第6期。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8.焦艳鹏：《</w:t>
            </w:r>
            <w:r>
              <w:rPr>
                <w:rFonts w:ascii="宋体" w:hAnsi="宋体"/>
                <w:sz w:val="24"/>
              </w:rPr>
              <w:t>总体国家安全观下的生物安全刑法治理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人民论坛·学术前沿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2020</w:t>
            </w:r>
            <w:r>
              <w:rPr>
                <w:rFonts w:hint="eastAsia" w:ascii="宋体" w:hAnsi="宋体"/>
                <w:sz w:val="24"/>
              </w:rPr>
              <w:t>第20期。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9.焦艳鹏：《</w:t>
            </w:r>
            <w:r>
              <w:rPr>
                <w:rFonts w:ascii="宋体" w:hAnsi="宋体"/>
                <w:sz w:val="24"/>
              </w:rPr>
              <w:t>打击污染环境犯罪当用重典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人民论坛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2019</w:t>
            </w:r>
            <w:r>
              <w:rPr>
                <w:rFonts w:hint="eastAsia" w:ascii="宋体" w:hAnsi="宋体"/>
                <w:sz w:val="24"/>
              </w:rPr>
              <w:t>第25期。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10.焦艳鹏：《环境刑法演进视角下的成员国刑事立法权让渡》，《人大法律评论》，</w:t>
            </w:r>
            <w:r>
              <w:rPr>
                <w:rFonts w:ascii="宋体" w:hAnsi="宋体"/>
                <w:sz w:val="24"/>
              </w:rPr>
              <w:t>2018年第2辑。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11.焦艳鹏：《</w:t>
            </w:r>
            <w:r>
              <w:rPr>
                <w:rFonts w:ascii="宋体" w:hAnsi="宋体"/>
                <w:sz w:val="24"/>
              </w:rPr>
              <w:t>环境司法的效能、目的与个案公正的生成——兼谈当事人的正义观及对司法活动的影响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南京大学法律评论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6年第2辑。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12.焦艳鹏：《论生态文明建设中刑法与环境法的协调》，《重庆大学学报</w:t>
            </w:r>
            <w:r>
              <w:rPr>
                <w:rFonts w:ascii="宋体" w:hAnsi="宋体"/>
                <w:sz w:val="24"/>
              </w:rPr>
              <w:t>(社会科学版)》，2016年第3期。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13.焦艳鹏：《</w:t>
            </w:r>
            <w:r>
              <w:rPr>
                <w:rFonts w:ascii="宋体" w:hAnsi="宋体"/>
                <w:sz w:val="24"/>
              </w:rPr>
              <w:t>污染环境罪司法解释适用研析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刑法论丛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年第1辑。</w:t>
            </w:r>
            <w:r>
              <w:rPr>
                <w:rFonts w:ascii="宋体" w:hAnsi="宋体"/>
                <w:sz w:val="24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14.焦艳鹏：《</w:t>
            </w:r>
            <w:r>
              <w:rPr>
                <w:rFonts w:ascii="宋体" w:hAnsi="宋体"/>
                <w:sz w:val="24"/>
              </w:rPr>
              <w:t>实体法与程序法双重约束下的污染环境罪司法证明——以2013年第15号司法解释的司法实践为切入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政治与法律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2015</w:t>
            </w:r>
            <w:r>
              <w:rPr>
                <w:rFonts w:hint="eastAsia" w:ascii="宋体" w:hAnsi="宋体"/>
                <w:sz w:val="24"/>
              </w:rPr>
              <w:t>年第7期。【注：环保部、中国法学会联合征文竞赛全国一等奖】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15.焦艳鹏：《</w:t>
            </w:r>
            <w:r>
              <w:rPr>
                <w:rFonts w:ascii="宋体" w:hAnsi="宋体"/>
                <w:sz w:val="24"/>
              </w:rPr>
              <w:t>论水上交通肇事及其危险行为的入罪标准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法学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2012</w:t>
            </w:r>
            <w:r>
              <w:rPr>
                <w:rFonts w:hint="eastAsia" w:ascii="宋体" w:hAnsi="宋体"/>
                <w:sz w:val="24"/>
              </w:rPr>
              <w:t>年第9期。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16.焦艳鹏：《</w:t>
            </w:r>
            <w:r>
              <w:rPr>
                <w:rFonts w:ascii="宋体" w:hAnsi="宋体"/>
                <w:sz w:val="24"/>
              </w:rPr>
              <w:t>论刑法生态法益的概念及对生态犯罪的界定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刑法论丛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2011</w:t>
            </w:r>
            <w:r>
              <w:rPr>
                <w:rFonts w:hint="eastAsia" w:ascii="宋体" w:hAnsi="宋体"/>
                <w:sz w:val="24"/>
              </w:rPr>
              <w:t>第4辑。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17.焦艳鹏：《</w:t>
            </w:r>
            <w:r>
              <w:rPr>
                <w:rFonts w:ascii="宋体" w:hAnsi="宋体"/>
                <w:sz w:val="24"/>
              </w:rPr>
              <w:t>论中国区际刑事司法协助制度的原则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太平洋学报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2009</w:t>
            </w:r>
            <w:r>
              <w:rPr>
                <w:rFonts w:hint="eastAsia" w:ascii="宋体" w:hAnsi="宋体"/>
                <w:sz w:val="24"/>
              </w:rPr>
              <w:t>第5期。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18.焦艳鹏：《</w:t>
            </w:r>
            <w:r>
              <w:rPr>
                <w:rFonts w:ascii="宋体" w:hAnsi="宋体"/>
                <w:sz w:val="24"/>
              </w:rPr>
              <w:t>论我国矿业权制度的改革要点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中国地质大学学报(社会科学版)</w:t>
            </w:r>
            <w:r>
              <w:rPr>
                <w:rFonts w:hint="eastAsia" w:ascii="宋体" w:hAnsi="宋体"/>
                <w:sz w:val="24"/>
              </w:rPr>
              <w:t>》，2007年第6期。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19.李小林、焦艳鹏：《</w:t>
            </w:r>
            <w:r>
              <w:rPr>
                <w:rFonts w:ascii="宋体" w:hAnsi="宋体"/>
                <w:sz w:val="24"/>
              </w:rPr>
              <w:t>谈校园文化与大学生心理健康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中国高等教育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2002</w:t>
            </w:r>
            <w:r>
              <w:rPr>
                <w:rFonts w:hint="eastAsia" w:ascii="宋体" w:hAnsi="宋体"/>
                <w:sz w:val="24"/>
              </w:rPr>
              <w:t>年第21期。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20.</w:t>
            </w:r>
            <w:r>
              <w:rPr>
                <w:rFonts w:ascii="宋体" w:hAnsi="宋体"/>
                <w:sz w:val="24"/>
              </w:rPr>
              <w:t>周子良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王华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焦艳鹏</w:t>
            </w:r>
            <w:r>
              <w:rPr>
                <w:rFonts w:hint="eastAsia" w:ascii="宋体" w:hAnsi="宋体"/>
                <w:sz w:val="24"/>
              </w:rPr>
              <w:t>：《</w:t>
            </w:r>
            <w:r>
              <w:rPr>
                <w:rFonts w:ascii="宋体" w:hAnsi="宋体"/>
                <w:sz w:val="24"/>
              </w:rPr>
              <w:t>三晋法家思想的华与实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山西大学学报(哲学社会科学版)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2002</w:t>
            </w:r>
            <w:r>
              <w:rPr>
                <w:rFonts w:hint="eastAsia" w:ascii="宋体" w:hAnsi="宋体"/>
                <w:sz w:val="24"/>
              </w:rPr>
              <w:t>年第3期。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</w:rPr>
              <w:t>21.周子良、焦艳鹏：《</w:t>
            </w:r>
            <w:r>
              <w:rPr>
                <w:rFonts w:ascii="宋体" w:hAnsi="宋体"/>
                <w:sz w:val="24"/>
              </w:rPr>
              <w:t>山西农村非法传教问题的调查与法律思考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晋阳学刊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2002</w:t>
            </w:r>
            <w:r>
              <w:rPr>
                <w:rFonts w:hint="eastAsia" w:ascii="宋体" w:hAnsi="宋体"/>
                <w:sz w:val="24"/>
              </w:rPr>
              <w:t>年第4期。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184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 w:line="380" w:lineRule="exact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一、省部级人才序列：</w:t>
            </w:r>
          </w:p>
          <w:p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1.上海市高校“东方学者”特聘教授（2022年，上海市教委遴选）</w:t>
            </w:r>
          </w:p>
          <w:p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2.天津市领军人才（2019年，天津市人力资源和社会保障局评选）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3.重庆市“百人计划”特聘专家（2016年，重庆市人力资源和社会保障局遴选）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4.国家环境保护专业技术青年拔尖人才（2016年，原国家环境保护部遴选）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二、担任国家级重大项目、重点项目的首席专家或负责人：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1.国家社科基金重大项目：“污染环境犯罪多元治理机制研究”，2019年12月立项，[项目首席专家]，项目编号：【19ZDA161】，项目经费：60万元。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2.国家社科基金重点项目：“面向生态文明建设的我国污染环境犯罪治理机制研究”，2019年7月立项，[项目主持人]，项目编号：【19AFX008】，项目经费：35万元。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三、学术成果获奖：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1.独著学术论文《生态文明保障的刑法机制》，荣获第二届“方德法治研究奖”二等奖，2019年。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2.独著学术论文《污染环境罪因果关系的证明路径》，获第四届“董必武青年法学成果奖”提名奖,中国法学会授予，2017年。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3.独著学术论文《法益解释机能的司法实现——以污染环境罪的司法判定为线索》荣获第三届孙国华法学理论优秀青年学术成果奖，2016年。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4.合著学术论文《基于实证的网络诈骗犯罪刑法规制研究——以354份生效判决书的分析为切入》荣获中国法学会警察法学研究会2016年年会优秀论文二等奖，2016年。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5.合著学术论文《基于实证的网络诈骗犯罪刑法规制研究——以354份生效判决书的分析为切入》，荣获中国法学会第十一届“中国法学青年论坛”主题征文活动三等奖，2016年。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6.独著学术论文《公民环境义务配置的依据与边界——以&lt;北京市生活垃圾管理条例&gt;为例》，荣获湖北省期刊协会优秀研究成果三等奖，2016年。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7.独著学术论文《实体法与程序法双重约束下的污染环境罪司法证明——以2013年第15号司法解释的司法实践为切入》，荣获环境保护部、中国法学会“生态环境法治保障”主题征文活动全国一等奖，2015年。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8.独著学术论文《实体法与程序法双重约束下的污染环境罪司法证明》，荣获江苏省法学会环境资源法学研究会2014年年会优秀论文一等奖，2014年。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9.专著《刑法生态法益论》获中国环境科学学会环境法学分会第三届环境法学优秀成果一等奖，2013年。</w:t>
            </w:r>
          </w:p>
          <w:p>
            <w:pPr>
              <w:spacing w:line="360" w:lineRule="exact"/>
              <w:ind w:left="240" w:hanging="240" w:hangingChars="1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10.独著学术论文《“污染环境罪”的司法判定困境及其解决》，荣获中华环保联合会“生态文明建设的司法保障”征文活动一等奖，2013年。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D139F4"/>
    <w:multiLevelType w:val="multilevel"/>
    <w:tmpl w:val="18D139F4"/>
    <w:lvl w:ilvl="0" w:tentative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31855"/>
    <w:rsid w:val="00045322"/>
    <w:rsid w:val="00052E17"/>
    <w:rsid w:val="00074280"/>
    <w:rsid w:val="00087832"/>
    <w:rsid w:val="000E4198"/>
    <w:rsid w:val="000F2794"/>
    <w:rsid w:val="00140670"/>
    <w:rsid w:val="0018695A"/>
    <w:rsid w:val="00197D3A"/>
    <w:rsid w:val="002624ED"/>
    <w:rsid w:val="0029657A"/>
    <w:rsid w:val="00331126"/>
    <w:rsid w:val="00364CA5"/>
    <w:rsid w:val="003705D9"/>
    <w:rsid w:val="00391430"/>
    <w:rsid w:val="003A41BD"/>
    <w:rsid w:val="003A449E"/>
    <w:rsid w:val="003A6E6B"/>
    <w:rsid w:val="003C0A10"/>
    <w:rsid w:val="003C66A3"/>
    <w:rsid w:val="003D529F"/>
    <w:rsid w:val="003F2CF8"/>
    <w:rsid w:val="00417340"/>
    <w:rsid w:val="004A5552"/>
    <w:rsid w:val="004C047B"/>
    <w:rsid w:val="004E5B1D"/>
    <w:rsid w:val="00500FCC"/>
    <w:rsid w:val="005017FD"/>
    <w:rsid w:val="005131AB"/>
    <w:rsid w:val="0052358C"/>
    <w:rsid w:val="005462A3"/>
    <w:rsid w:val="005517E3"/>
    <w:rsid w:val="00552AE7"/>
    <w:rsid w:val="00570DE0"/>
    <w:rsid w:val="00591C16"/>
    <w:rsid w:val="005B1DA3"/>
    <w:rsid w:val="005C6411"/>
    <w:rsid w:val="0060124B"/>
    <w:rsid w:val="00631F77"/>
    <w:rsid w:val="00632FA6"/>
    <w:rsid w:val="00656001"/>
    <w:rsid w:val="0067000B"/>
    <w:rsid w:val="00694258"/>
    <w:rsid w:val="00694585"/>
    <w:rsid w:val="006979A5"/>
    <w:rsid w:val="006A747D"/>
    <w:rsid w:val="006B2CBA"/>
    <w:rsid w:val="006D1FE8"/>
    <w:rsid w:val="006D65CE"/>
    <w:rsid w:val="00721410"/>
    <w:rsid w:val="00730BCA"/>
    <w:rsid w:val="00742B6B"/>
    <w:rsid w:val="00743A0E"/>
    <w:rsid w:val="00761D03"/>
    <w:rsid w:val="007657F9"/>
    <w:rsid w:val="00771358"/>
    <w:rsid w:val="00773163"/>
    <w:rsid w:val="00783884"/>
    <w:rsid w:val="00791915"/>
    <w:rsid w:val="007C0E25"/>
    <w:rsid w:val="007C3CE8"/>
    <w:rsid w:val="007C47B5"/>
    <w:rsid w:val="008143E6"/>
    <w:rsid w:val="008307F0"/>
    <w:rsid w:val="008317D8"/>
    <w:rsid w:val="00843757"/>
    <w:rsid w:val="00847760"/>
    <w:rsid w:val="00874460"/>
    <w:rsid w:val="008C3FA9"/>
    <w:rsid w:val="008C6CE7"/>
    <w:rsid w:val="008E0A35"/>
    <w:rsid w:val="008E69BB"/>
    <w:rsid w:val="008F376E"/>
    <w:rsid w:val="008F6C34"/>
    <w:rsid w:val="00905095"/>
    <w:rsid w:val="00931CC8"/>
    <w:rsid w:val="00933358"/>
    <w:rsid w:val="009340C2"/>
    <w:rsid w:val="00981448"/>
    <w:rsid w:val="00985BCC"/>
    <w:rsid w:val="0099227C"/>
    <w:rsid w:val="009C3715"/>
    <w:rsid w:val="009F1DA7"/>
    <w:rsid w:val="009F322F"/>
    <w:rsid w:val="00A063D1"/>
    <w:rsid w:val="00A165C1"/>
    <w:rsid w:val="00A62D9E"/>
    <w:rsid w:val="00A94411"/>
    <w:rsid w:val="00AC3D44"/>
    <w:rsid w:val="00AF247A"/>
    <w:rsid w:val="00B029C6"/>
    <w:rsid w:val="00B10FD7"/>
    <w:rsid w:val="00B42B62"/>
    <w:rsid w:val="00B54274"/>
    <w:rsid w:val="00B8105F"/>
    <w:rsid w:val="00BC7802"/>
    <w:rsid w:val="00BD1A7E"/>
    <w:rsid w:val="00BE714E"/>
    <w:rsid w:val="00C02807"/>
    <w:rsid w:val="00C0397E"/>
    <w:rsid w:val="00C122C1"/>
    <w:rsid w:val="00C65030"/>
    <w:rsid w:val="00C65229"/>
    <w:rsid w:val="00C76A96"/>
    <w:rsid w:val="00C8104B"/>
    <w:rsid w:val="00CF156E"/>
    <w:rsid w:val="00CF1D2A"/>
    <w:rsid w:val="00CF24B5"/>
    <w:rsid w:val="00D00B14"/>
    <w:rsid w:val="00D07E71"/>
    <w:rsid w:val="00D13520"/>
    <w:rsid w:val="00D43541"/>
    <w:rsid w:val="00D47F15"/>
    <w:rsid w:val="00D62FC6"/>
    <w:rsid w:val="00D77712"/>
    <w:rsid w:val="00D879B0"/>
    <w:rsid w:val="00DC0A0E"/>
    <w:rsid w:val="00DD3F1B"/>
    <w:rsid w:val="00E011A7"/>
    <w:rsid w:val="00E1370E"/>
    <w:rsid w:val="00E55320"/>
    <w:rsid w:val="00E76DE8"/>
    <w:rsid w:val="00E77A48"/>
    <w:rsid w:val="00E8779F"/>
    <w:rsid w:val="00E94F81"/>
    <w:rsid w:val="00EB6877"/>
    <w:rsid w:val="00ED77BD"/>
    <w:rsid w:val="00EE0B9E"/>
    <w:rsid w:val="00F2526D"/>
    <w:rsid w:val="00F25501"/>
    <w:rsid w:val="00F27A91"/>
    <w:rsid w:val="00F3337D"/>
    <w:rsid w:val="00F74F38"/>
    <w:rsid w:val="00F838BC"/>
    <w:rsid w:val="00F91926"/>
    <w:rsid w:val="00FA6EC1"/>
    <w:rsid w:val="00FB06D9"/>
    <w:rsid w:val="00FB4B18"/>
    <w:rsid w:val="00FD1E62"/>
    <w:rsid w:val="00FD472A"/>
    <w:rsid w:val="00FE71CF"/>
    <w:rsid w:val="18300BBF"/>
    <w:rsid w:val="1EBD9178"/>
    <w:rsid w:val="2CEFB339"/>
    <w:rsid w:val="2EFBBC48"/>
    <w:rsid w:val="2FDE773F"/>
    <w:rsid w:val="3B9D0C2F"/>
    <w:rsid w:val="3BBF1B45"/>
    <w:rsid w:val="3DFF8C80"/>
    <w:rsid w:val="3FAC72FC"/>
    <w:rsid w:val="3FDF6C0E"/>
    <w:rsid w:val="3FE95ABC"/>
    <w:rsid w:val="4F174BEF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A7F1103"/>
    <w:rsid w:val="6F9B4CF3"/>
    <w:rsid w:val="6FAF0381"/>
    <w:rsid w:val="6FFF2EC6"/>
    <w:rsid w:val="70BB0FAB"/>
    <w:rsid w:val="73C6A777"/>
    <w:rsid w:val="776C6818"/>
    <w:rsid w:val="7A8FFAC6"/>
    <w:rsid w:val="7AFB59A5"/>
    <w:rsid w:val="7B9F83C7"/>
    <w:rsid w:val="7BDFCBFF"/>
    <w:rsid w:val="7CFECE28"/>
    <w:rsid w:val="7D6F2F16"/>
    <w:rsid w:val="7DB18C74"/>
    <w:rsid w:val="7DBAEB37"/>
    <w:rsid w:val="7DBF1A34"/>
    <w:rsid w:val="7DEB2C32"/>
    <w:rsid w:val="7DFF523D"/>
    <w:rsid w:val="7E5F3199"/>
    <w:rsid w:val="7EEBB7B7"/>
    <w:rsid w:val="7EF35ADA"/>
    <w:rsid w:val="7F7B04A8"/>
    <w:rsid w:val="7F7EF37E"/>
    <w:rsid w:val="7FA5EC14"/>
    <w:rsid w:val="7FBA3DE8"/>
    <w:rsid w:val="7FD7D6B2"/>
    <w:rsid w:val="7FF37BAA"/>
    <w:rsid w:val="97BB03E6"/>
    <w:rsid w:val="9DBC5BFE"/>
    <w:rsid w:val="A7EB79A2"/>
    <w:rsid w:val="ABC2528A"/>
    <w:rsid w:val="ABFD3B40"/>
    <w:rsid w:val="AE8F304D"/>
    <w:rsid w:val="AFFF087D"/>
    <w:rsid w:val="AFFF72D2"/>
    <w:rsid w:val="B15DAA1B"/>
    <w:rsid w:val="B7D56515"/>
    <w:rsid w:val="B9EF54B5"/>
    <w:rsid w:val="BADF5897"/>
    <w:rsid w:val="BB679EA3"/>
    <w:rsid w:val="BE3FDE16"/>
    <w:rsid w:val="BEFF65E4"/>
    <w:rsid w:val="D7371D03"/>
    <w:rsid w:val="D7FE4373"/>
    <w:rsid w:val="DE796A46"/>
    <w:rsid w:val="DE7F24A6"/>
    <w:rsid w:val="DEBF8238"/>
    <w:rsid w:val="DFF6E157"/>
    <w:rsid w:val="EBDD7E1B"/>
    <w:rsid w:val="ED661AE8"/>
    <w:rsid w:val="EDFF9236"/>
    <w:rsid w:val="EEFDCF1B"/>
    <w:rsid w:val="EF358C7A"/>
    <w:rsid w:val="EFBFEC5E"/>
    <w:rsid w:val="F2715785"/>
    <w:rsid w:val="F3D759E3"/>
    <w:rsid w:val="F5EE418A"/>
    <w:rsid w:val="F7681517"/>
    <w:rsid w:val="F7AF7DD2"/>
    <w:rsid w:val="F9FFA100"/>
    <w:rsid w:val="FADD7EF1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7279</Words>
  <Characters>7879</Characters>
  <Lines>84</Lines>
  <Paragraphs>23</Paragraphs>
  <TotalTime>9</TotalTime>
  <ScaleCrop>false</ScaleCrop>
  <LinksUpToDate>false</LinksUpToDate>
  <CharactersWithSpaces>8025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2023-03-07T20:50:00Z</dcterms:created>
  <dc:creator>fxhuser</dc:creator>
  <cp:lastModifiedBy>fxhuser</cp:lastModifiedBy>
  <cp:lastPrinted>2023-03-18T12:01:00Z</cp:lastPrinted>
  <dcterms:modified xsi:type="dcterms:W3CDTF">2023-05-05T17:39:39Z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410674BA5CF04EC9B49604D3B20E1579</vt:lpwstr>
  </property>
</Properties>
</file>