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left"/>
        <w:rPr>
          <w:rFonts w:eastAsia="黑体"/>
          <w:color w:val="000000"/>
          <w:sz w:val="32"/>
          <w:szCs w:val="32"/>
          <w:lang w:val="en"/>
        </w:rPr>
      </w:pPr>
      <w:r>
        <w:rPr>
          <w:rFonts w:hint="eastAsia" w:eastAsia="黑体"/>
          <w:color w:val="000000"/>
          <w:sz w:val="32"/>
          <w:szCs w:val="32"/>
        </w:rPr>
        <w:t>附件2</w:t>
      </w:r>
      <w:r>
        <w:rPr>
          <w:rFonts w:eastAsia="黑体"/>
          <w:color w:val="000000"/>
          <w:sz w:val="32"/>
          <w:szCs w:val="32"/>
          <w:lang w:val="en"/>
        </w:rPr>
        <w:t>：</w:t>
      </w:r>
    </w:p>
    <w:p>
      <w:pPr>
        <w:jc w:val="center"/>
        <w:rPr>
          <w:rFonts w:ascii="宋体" w:hAnsi="宋体"/>
          <w:b/>
          <w:bCs/>
          <w:sz w:val="32"/>
          <w:szCs w:val="32"/>
        </w:rPr>
      </w:pPr>
    </w:p>
    <w:p>
      <w:pPr>
        <w:jc w:val="center"/>
      </w:pPr>
    </w:p>
    <w:p>
      <w:pPr>
        <w:jc w:val="center"/>
      </w:pPr>
      <w:r>
        <w:drawing>
          <wp:inline distT="0" distB="0" distL="0" distR="0">
            <wp:extent cx="1483995" cy="1428750"/>
            <wp:effectExtent l="0" t="0" r="1905" b="0"/>
            <wp:docPr id="3" name="图片 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true" noChangeArrowheads="true"/>
                    </pic:cNvPicPr>
                  </pic:nvPicPr>
                  <pic:blipFill>
                    <a:blip r:embed="rId4">
                      <a:extLst>
                        <a:ext uri="{28A0092B-C50C-407E-A947-70E740481C1C}">
                          <a14:useLocalDpi xmlns:a14="http://schemas.microsoft.com/office/drawing/2010/main" val="false"/>
                        </a:ext>
                      </a:extLst>
                    </a:blip>
                    <a:srcRect/>
                    <a:stretch>
                      <a:fillRect/>
                    </a:stretch>
                  </pic:blipFill>
                  <pic:spPr>
                    <a:xfrm>
                      <a:off x="0" y="0"/>
                      <a:ext cx="1483995" cy="1428750"/>
                    </a:xfrm>
                    <a:prstGeom prst="rect">
                      <a:avLst/>
                    </a:prstGeom>
                    <a:noFill/>
                    <a:ln>
                      <a:noFill/>
                    </a:ln>
                  </pic:spPr>
                </pic:pic>
              </a:graphicData>
            </a:graphic>
          </wp:inline>
        </w:drawing>
      </w:r>
    </w:p>
    <w:p/>
    <w:p/>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第十届“全国杰出青年法学家”</w:t>
      </w:r>
    </w:p>
    <w:p>
      <w:pPr>
        <w:spacing w:line="700" w:lineRule="exact"/>
        <w:jc w:val="center"/>
        <w:rPr>
          <w:rFonts w:ascii="方正小标宋_GBK" w:eastAsia="方正小标宋_GBK"/>
          <w:b/>
          <w:bCs/>
          <w:sz w:val="44"/>
          <w:szCs w:val="44"/>
        </w:rPr>
      </w:pPr>
      <w:r>
        <w:rPr>
          <w:rFonts w:hint="eastAsia" w:ascii="方正小标宋_GBK" w:eastAsia="方正小标宋_GBK"/>
          <w:b/>
          <w:bCs/>
          <w:sz w:val="44"/>
          <w:szCs w:val="44"/>
        </w:rPr>
        <w:t>推荐表</w:t>
      </w:r>
    </w:p>
    <w:p/>
    <w:p/>
    <w:p/>
    <w:p/>
    <w:p/>
    <w:p/>
    <w:p>
      <w:pPr>
        <w:snapToGrid w:val="0"/>
        <w:rPr>
          <w:sz w:val="28"/>
          <w:szCs w:val="28"/>
        </w:rPr>
      </w:pPr>
    </w:p>
    <w:p>
      <w:pPr>
        <w:snapToGrid w:val="0"/>
        <w:rPr>
          <w:sz w:val="28"/>
          <w:szCs w:val="28"/>
        </w:rPr>
      </w:pPr>
    </w:p>
    <w:p>
      <w:pPr>
        <w:snapToGrid w:val="0"/>
        <w:rPr>
          <w:sz w:val="28"/>
          <w:szCs w:val="28"/>
        </w:rPr>
      </w:pPr>
    </w:p>
    <w:p>
      <w:pPr>
        <w:snapToGrid w:val="0"/>
        <w:ind w:firstLine="642" w:firstLineChars="200"/>
        <w:rPr>
          <w:rFonts w:eastAsia="仿宋_GB2312"/>
          <w:b/>
          <w:bCs/>
          <w:sz w:val="32"/>
          <w:szCs w:val="32"/>
          <w:u w:val="single"/>
        </w:rPr>
      </w:pPr>
      <w:r>
        <w:rPr>
          <w:rFonts w:hint="eastAsia" w:eastAsia="仿宋_GB2312"/>
          <w:b/>
          <w:bCs/>
          <w:sz w:val="32"/>
          <w:szCs w:val="32"/>
        </w:rPr>
        <w:t>姓    名</w:t>
      </w:r>
      <w:r>
        <w:rPr>
          <w:rFonts w:hint="eastAsia" w:eastAsia="仿宋_GB2312"/>
          <w:b/>
          <w:bCs/>
          <w:sz w:val="32"/>
          <w:szCs w:val="32"/>
          <w:u w:val="single"/>
        </w:rPr>
        <w:t xml:space="preserve">          </w:t>
      </w:r>
      <w:r>
        <w:rPr>
          <w:rFonts w:eastAsia="仿宋_GB2312"/>
          <w:b/>
          <w:bCs/>
          <w:sz w:val="32"/>
          <w:szCs w:val="32"/>
          <w:u w:val="single"/>
        </w:rPr>
        <w:t xml:space="preserve"> </w:t>
      </w:r>
      <w:r>
        <w:rPr>
          <w:rFonts w:hint="eastAsia" w:eastAsia="仿宋_GB2312"/>
          <w:b/>
          <w:bCs/>
          <w:sz w:val="32"/>
          <w:szCs w:val="32"/>
          <w:u w:val="single"/>
        </w:rPr>
        <w:t xml:space="preserve">蔡 科 云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2" w:firstLineChars="200"/>
        <w:rPr>
          <w:rFonts w:eastAsia="仿宋_GB2312"/>
          <w:b/>
          <w:bCs/>
          <w:sz w:val="32"/>
          <w:szCs w:val="32"/>
          <w:u w:val="single"/>
        </w:rPr>
      </w:pPr>
      <w:r>
        <w:rPr>
          <w:rFonts w:hint="eastAsia" w:eastAsia="仿宋_GB2312"/>
          <w:b/>
          <w:bCs/>
          <w:sz w:val="32"/>
          <w:szCs w:val="32"/>
        </w:rPr>
        <w:t>工作单位</w:t>
      </w:r>
      <w:r>
        <w:rPr>
          <w:rFonts w:hint="eastAsia" w:eastAsia="仿宋_GB2312"/>
          <w:b/>
          <w:bCs/>
          <w:sz w:val="32"/>
          <w:szCs w:val="32"/>
          <w:u w:val="single"/>
        </w:rPr>
        <w:t xml:space="preserve">          新 疆 大 学    </w:t>
      </w:r>
      <w:r>
        <w:rPr>
          <w:rFonts w:eastAsia="仿宋_GB2312"/>
          <w:b/>
          <w:bCs/>
          <w:sz w:val="32"/>
          <w:szCs w:val="32"/>
          <w:u w:val="single"/>
        </w:rPr>
        <w:t xml:space="preserve"> </w:t>
      </w:r>
      <w:r>
        <w:rPr>
          <w:rFonts w:hint="eastAsia" w:eastAsia="仿宋_GB2312"/>
          <w:b/>
          <w:bCs/>
          <w:sz w:val="32"/>
          <w:szCs w:val="32"/>
          <w:u w:val="single"/>
        </w:rPr>
        <w:t xml:space="preserve">         </w:t>
      </w:r>
    </w:p>
    <w:p>
      <w:pPr>
        <w:snapToGrid w:val="0"/>
        <w:rPr>
          <w:rFonts w:eastAsia="仿宋_GB2312"/>
          <w:b/>
          <w:bCs/>
          <w:sz w:val="28"/>
          <w:szCs w:val="28"/>
          <w:u w:val="single"/>
        </w:rPr>
      </w:pPr>
    </w:p>
    <w:p>
      <w:pPr>
        <w:snapToGrid w:val="0"/>
        <w:ind w:firstLine="642" w:firstLineChars="200"/>
        <w:rPr>
          <w:rFonts w:eastAsia="仿宋_GB2312"/>
          <w:b/>
          <w:bCs/>
          <w:sz w:val="32"/>
          <w:szCs w:val="32"/>
          <w:u w:val="single"/>
        </w:rPr>
      </w:pPr>
      <w:r>
        <w:rPr>
          <w:rFonts w:hint="eastAsia" w:eastAsia="仿宋_GB2312"/>
          <w:b/>
          <w:bCs/>
          <w:sz w:val="32"/>
          <w:szCs w:val="32"/>
        </w:rPr>
        <w:t>推荐单位</w:t>
      </w:r>
      <w:r>
        <w:rPr>
          <w:rFonts w:hint="eastAsia" w:eastAsia="仿宋_GB2312"/>
          <w:b/>
          <w:bCs/>
          <w:sz w:val="32"/>
          <w:szCs w:val="32"/>
          <w:u w:val="single"/>
        </w:rPr>
        <w:t xml:space="preserve">          </w:t>
      </w:r>
      <w:r>
        <w:rPr>
          <w:rFonts w:hint="eastAsia" w:eastAsia="仿宋_GB2312"/>
          <w:b/>
          <w:bCs/>
          <w:sz w:val="32"/>
          <w:szCs w:val="32"/>
          <w:u w:val="single"/>
          <w:lang w:eastAsia="zh-CN"/>
        </w:rPr>
        <w:t>新疆大学法学院</w:t>
      </w:r>
      <w:r>
        <w:rPr>
          <w:rFonts w:hint="eastAsia" w:eastAsia="仿宋_GB2312"/>
          <w:b/>
          <w:bCs/>
          <w:sz w:val="32"/>
          <w:szCs w:val="32"/>
          <w:u w:val="single"/>
        </w:rPr>
        <w:t xml:space="preserve">            </w:t>
      </w: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snapToGrid w:val="0"/>
        <w:rPr>
          <w:rFonts w:eastAsia="仿宋_GB2312"/>
          <w:b/>
          <w:bCs/>
          <w:szCs w:val="21"/>
          <w:u w:val="single"/>
        </w:rPr>
      </w:pPr>
    </w:p>
    <w:p>
      <w:pPr>
        <w:ind w:firstLine="3360" w:firstLineChars="1050"/>
        <w:rPr>
          <w:rFonts w:ascii="宋体" w:hAnsi="Arial Narrow"/>
          <w:sz w:val="32"/>
          <w:szCs w:val="32"/>
        </w:rPr>
      </w:pPr>
      <w:r>
        <w:rPr>
          <w:rFonts w:hint="eastAsia" w:ascii="宋体" w:hAnsi="Arial Narrow"/>
          <w:sz w:val="32"/>
          <w:szCs w:val="32"/>
        </w:rPr>
        <w:t>中国法学会</w:t>
      </w:r>
    </w:p>
    <w:p>
      <w:pPr>
        <w:snapToGrid w:val="0"/>
        <w:jc w:val="center"/>
        <w:rPr>
          <w:rFonts w:eastAsia="仿宋_GB2312"/>
          <w:b/>
          <w:bCs/>
          <w:szCs w:val="21"/>
          <w:u w:val="single"/>
        </w:rPr>
      </w:pPr>
      <w:r>
        <w:rPr>
          <w:rFonts w:hint="eastAsia" w:ascii="宋体" w:hAnsi="Arial Narrow"/>
          <w:sz w:val="32"/>
          <w:szCs w:val="32"/>
        </w:rPr>
        <w:t>202</w:t>
      </w:r>
      <w:r>
        <w:rPr>
          <w:rFonts w:ascii="宋体" w:hAnsi="Arial Narrow"/>
          <w:sz w:val="32"/>
          <w:szCs w:val="32"/>
          <w:lang w:val="en"/>
        </w:rPr>
        <w:t>2</w:t>
      </w:r>
      <w:r>
        <w:rPr>
          <w:rFonts w:hint="eastAsia" w:ascii="宋体" w:hAnsi="Arial Narrow"/>
          <w:sz w:val="32"/>
          <w:szCs w:val="32"/>
        </w:rPr>
        <w:t>年</w:t>
      </w:r>
      <w:r>
        <w:rPr>
          <w:rFonts w:ascii="宋体" w:hAnsi="Arial Narrow"/>
          <w:sz w:val="32"/>
          <w:szCs w:val="32"/>
          <w:lang w:val="en"/>
        </w:rPr>
        <w:t>12</w:t>
      </w:r>
      <w:r>
        <w:rPr>
          <w:rFonts w:hint="eastAsia" w:ascii="宋体" w:hAnsi="Arial Narrow"/>
          <w:sz w:val="32"/>
          <w:szCs w:val="32"/>
        </w:rPr>
        <w:t>月印制</w:t>
      </w:r>
    </w:p>
    <w:p>
      <w:pPr>
        <w:snapToGrid w:val="0"/>
        <w:rPr>
          <w:rFonts w:eastAsia="仿宋_GB2312"/>
          <w:szCs w:val="21"/>
        </w:rPr>
      </w:pPr>
    </w:p>
    <w:p>
      <w:pPr>
        <w:spacing w:line="440" w:lineRule="exact"/>
        <w:jc w:val="center"/>
        <w:rPr>
          <w:rFonts w:ascii="Arial Narrow" w:hAnsi="Arial Narrow"/>
          <w:b/>
          <w:sz w:val="30"/>
        </w:rPr>
      </w:pPr>
    </w:p>
    <w:p>
      <w:pPr>
        <w:spacing w:line="440" w:lineRule="exact"/>
        <w:jc w:val="center"/>
        <w:rPr>
          <w:rFonts w:ascii="仿宋" w:hAnsi="仿宋" w:eastAsia="仿宋"/>
          <w:b/>
          <w:sz w:val="32"/>
          <w:szCs w:val="32"/>
        </w:rPr>
      </w:pPr>
      <w:r>
        <w:rPr>
          <w:rFonts w:hint="eastAsia" w:ascii="仿宋" w:hAnsi="仿宋" w:eastAsia="仿宋"/>
          <w:b/>
          <w:sz w:val="32"/>
          <w:szCs w:val="32"/>
        </w:rPr>
        <w:t>填</w:t>
      </w:r>
      <w:r>
        <w:rPr>
          <w:rFonts w:ascii="仿宋" w:hAnsi="仿宋" w:eastAsia="仿宋"/>
          <w:b/>
          <w:sz w:val="32"/>
          <w:szCs w:val="32"/>
        </w:rPr>
        <w:t xml:space="preserve">  </w:t>
      </w:r>
      <w:r>
        <w:rPr>
          <w:rFonts w:hint="eastAsia" w:ascii="仿宋" w:hAnsi="仿宋" w:eastAsia="仿宋"/>
          <w:b/>
          <w:sz w:val="32"/>
          <w:szCs w:val="32"/>
        </w:rPr>
        <w:t>表</w:t>
      </w:r>
      <w:r>
        <w:rPr>
          <w:rFonts w:ascii="仿宋" w:hAnsi="仿宋" w:eastAsia="仿宋"/>
          <w:b/>
          <w:sz w:val="32"/>
          <w:szCs w:val="32"/>
        </w:rPr>
        <w:t xml:space="preserve">  </w:t>
      </w:r>
      <w:r>
        <w:rPr>
          <w:rFonts w:hint="eastAsia" w:ascii="仿宋" w:hAnsi="仿宋" w:eastAsia="仿宋"/>
          <w:b/>
          <w:sz w:val="32"/>
          <w:szCs w:val="32"/>
        </w:rPr>
        <w:t>说</w:t>
      </w:r>
      <w:r>
        <w:rPr>
          <w:rFonts w:ascii="仿宋" w:hAnsi="仿宋" w:eastAsia="仿宋"/>
          <w:b/>
          <w:sz w:val="32"/>
          <w:szCs w:val="32"/>
        </w:rPr>
        <w:t xml:space="preserve">  </w:t>
      </w:r>
      <w:r>
        <w:rPr>
          <w:rFonts w:hint="eastAsia" w:ascii="仿宋" w:hAnsi="仿宋" w:eastAsia="仿宋"/>
          <w:b/>
          <w:sz w:val="32"/>
          <w:szCs w:val="32"/>
        </w:rPr>
        <w:t>明</w:t>
      </w:r>
    </w:p>
    <w:p>
      <w:pPr>
        <w:spacing w:line="480" w:lineRule="exact"/>
        <w:ind w:firstLine="560" w:firstLineChars="200"/>
        <w:rPr>
          <w:rFonts w:ascii="仿宋" w:hAnsi="仿宋" w:eastAsia="仿宋"/>
          <w:sz w:val="28"/>
          <w:szCs w:val="28"/>
        </w:rPr>
      </w:pPr>
    </w:p>
    <w:p>
      <w:pPr>
        <w:numPr>
          <w:ilvl w:val="0"/>
          <w:numId w:val="1"/>
        </w:numPr>
        <w:spacing w:line="560" w:lineRule="exact"/>
        <w:ind w:firstLine="560" w:firstLineChars="200"/>
        <w:rPr>
          <w:rFonts w:ascii="仿宋" w:hAnsi="仿宋" w:eastAsia="仿宋"/>
          <w:sz w:val="28"/>
          <w:szCs w:val="28"/>
        </w:rPr>
      </w:pPr>
      <w:r>
        <w:rPr>
          <w:rFonts w:hint="eastAsia" w:ascii="仿宋" w:hAnsi="仿宋" w:eastAsia="仿宋"/>
          <w:sz w:val="28"/>
          <w:szCs w:val="28"/>
        </w:rPr>
        <w:t>表一为推荐单位填写或指导推荐候选人填写，表二为推荐候选人工作单位上级党委（党组）填写并盖章，表三为推荐候选人工作单位上级纪检监察部门填写并盖章，表四为推荐单位填写并盖章。</w:t>
      </w:r>
    </w:p>
    <w:p>
      <w:pPr>
        <w:spacing w:line="560" w:lineRule="exact"/>
        <w:rPr>
          <w:rFonts w:ascii="仿宋" w:hAnsi="仿宋" w:eastAsia="仿宋"/>
          <w:sz w:val="28"/>
          <w:szCs w:val="28"/>
        </w:rPr>
      </w:pPr>
      <w:r>
        <w:rPr>
          <w:rFonts w:hint="eastAsia" w:ascii="仿宋" w:hAnsi="仿宋" w:eastAsia="仿宋"/>
          <w:sz w:val="28"/>
          <w:szCs w:val="28"/>
        </w:rPr>
        <w:t xml:space="preserve">    例如，推荐候选人为某大学法学院教授的，表二应由该大学党委填写并盖章，表三应由该大学纪委填写并盖章，表四应由该大学法学院填写并盖章。</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二、推荐单位需填写推荐评选委员会投票情况、推荐意见（每人500字以内）。</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三、请用计算机填写，可根据实际需要分栏，但勿随意变动格式及字体字号。</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四、请各推荐单位于2023年3月20日之前，将</w:t>
      </w:r>
      <w:r>
        <w:fldChar w:fldCharType="begin"/>
      </w:r>
      <w:r>
        <w:instrText xml:space="preserve"> HYPERLINK "mailto:本表电子版发至邮箱qnfxj2016@126.com" </w:instrText>
      </w:r>
      <w:r>
        <w:fldChar w:fldCharType="separate"/>
      </w:r>
      <w:r>
        <w:rPr>
          <w:rFonts w:hint="eastAsia" w:ascii="仿宋" w:hAnsi="仿宋" w:eastAsia="仿宋"/>
          <w:sz w:val="28"/>
          <w:szCs w:val="28"/>
        </w:rPr>
        <w:t>本表电子版发至指定邮箱</w:t>
      </w:r>
      <w:r>
        <w:rPr>
          <w:rFonts w:hint="eastAsia" w:ascii="仿宋" w:hAnsi="仿宋" w:eastAsia="仿宋"/>
          <w:sz w:val="28"/>
          <w:szCs w:val="28"/>
        </w:rPr>
        <w:fldChar w:fldCharType="end"/>
      </w:r>
      <w:r>
        <w:rPr>
          <w:rFonts w:hint="eastAsia" w:ascii="仿宋" w:hAnsi="仿宋" w:eastAsia="仿宋"/>
          <w:sz w:val="28"/>
          <w:szCs w:val="28"/>
        </w:rPr>
        <w:t>。纸质版以A4纸打印一式四份，连同推荐评选情况报告、推荐候选人身份证复印件、推荐候选人代表性学术专著1-2部（独著）、学术论文3-5篇（独著或第一作者）、重要荣誉证书或证明复印件各一式一份，寄至指定地址。</w:t>
      </w:r>
    </w:p>
    <w:p>
      <w:pPr>
        <w:spacing w:line="560" w:lineRule="exact"/>
        <w:ind w:firstLine="560" w:firstLineChars="200"/>
        <w:rPr>
          <w:rFonts w:ascii="仿宋" w:hAnsi="仿宋" w:eastAsia="仿宋"/>
          <w:sz w:val="28"/>
          <w:szCs w:val="28"/>
        </w:rPr>
      </w:pP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联 系 人：魏丽莎 于晓航  010-66</w:t>
      </w:r>
      <w:r>
        <w:rPr>
          <w:rFonts w:ascii="仿宋" w:hAnsi="仿宋" w:eastAsia="仿宋"/>
          <w:color w:val="000000"/>
          <w:sz w:val="28"/>
          <w:szCs w:val="28"/>
          <w:lang w:val="en"/>
        </w:rPr>
        <w:t>1</w:t>
      </w:r>
      <w:r>
        <w:rPr>
          <w:rFonts w:hint="eastAsia" w:ascii="仿宋" w:hAnsi="仿宋" w:eastAsia="仿宋"/>
          <w:color w:val="000000"/>
          <w:sz w:val="28"/>
          <w:szCs w:val="28"/>
        </w:rPr>
        <w:t>23109</w:t>
      </w:r>
    </w:p>
    <w:p>
      <w:pPr>
        <w:snapToGrid w:val="0"/>
        <w:spacing w:line="560" w:lineRule="exact"/>
        <w:ind w:firstLine="560" w:firstLineChars="200"/>
        <w:rPr>
          <w:rFonts w:ascii="仿宋" w:hAnsi="仿宋" w:eastAsia="仿宋"/>
          <w:color w:val="000000"/>
          <w:spacing w:val="-6"/>
          <w:sz w:val="28"/>
          <w:szCs w:val="28"/>
        </w:rPr>
      </w:pPr>
      <w:r>
        <w:rPr>
          <w:rFonts w:hint="eastAsia" w:ascii="仿宋" w:hAnsi="仿宋" w:eastAsia="仿宋"/>
          <w:color w:val="000000"/>
          <w:sz w:val="28"/>
          <w:szCs w:val="28"/>
        </w:rPr>
        <w:t>邮寄地址：</w:t>
      </w:r>
      <w:r>
        <w:rPr>
          <w:rFonts w:hint="eastAsia" w:ascii="仿宋" w:hAnsi="仿宋" w:eastAsia="仿宋"/>
          <w:color w:val="000000"/>
          <w:spacing w:val="-6"/>
          <w:sz w:val="28"/>
          <w:szCs w:val="28"/>
        </w:rPr>
        <w:t>北京市海淀区皂君庙4号中国法学会研究部1334室</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邮    编：100081</w:t>
      </w:r>
    </w:p>
    <w:p>
      <w:pPr>
        <w:snapToGrid w:val="0"/>
        <w:spacing w:line="5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电子邮箱：qnfxj2022@163.com</w:t>
      </w:r>
    </w:p>
    <w:p>
      <w:pPr>
        <w:rPr>
          <w:rFonts w:ascii="宋体" w:hAnsi="宋体"/>
          <w:b/>
          <w:bCs/>
          <w:color w:val="000000"/>
          <w:sz w:val="24"/>
        </w:rPr>
      </w:pPr>
    </w:p>
    <w:p>
      <w:pPr>
        <w:rPr>
          <w:rFonts w:ascii="宋体" w:hAnsi="宋体"/>
          <w:b/>
          <w:bCs/>
          <w:color w:val="000000"/>
          <w:sz w:val="24"/>
        </w:rPr>
      </w:pPr>
    </w:p>
    <w:p>
      <w:pPr>
        <w:rPr>
          <w:rFonts w:ascii="宋体" w:hAnsi="宋体"/>
          <w:b/>
          <w:bCs/>
          <w:color w:val="000000"/>
          <w:sz w:val="24"/>
        </w:rPr>
      </w:pPr>
    </w:p>
    <w:tbl>
      <w:tblPr>
        <w:tblStyle w:val="4"/>
        <w:tblpPr w:leftFromText="180" w:rightFromText="180" w:vertAnchor="text" w:horzAnchor="page" w:tblpX="1732" w:tblpY="-227"/>
        <w:tblOverlap w:val="never"/>
        <w:tblW w:w="90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104"/>
        <w:gridCol w:w="1276"/>
        <w:gridCol w:w="2016"/>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4" w:hRule="atLeast"/>
        </w:trPr>
        <w:tc>
          <w:tcPr>
            <w:tcW w:w="9000" w:type="dxa"/>
            <w:gridSpan w:val="5"/>
            <w:tcBorders>
              <w:bottom w:val="single" w:color="000000" w:sz="4" w:space="0"/>
            </w:tcBorders>
            <w:vAlign w:val="center"/>
          </w:tcPr>
          <w:p>
            <w:pPr>
              <w:snapToGrid w:val="0"/>
              <w:rPr>
                <w:rFonts w:ascii="华文中宋" w:hAnsi="华文中宋" w:eastAsia="华文中宋"/>
                <w:b/>
                <w:color w:val="000000"/>
                <w:sz w:val="30"/>
                <w:szCs w:val="30"/>
              </w:rPr>
            </w:pPr>
            <w:r>
              <w:rPr>
                <w:rFonts w:hint="eastAsia" w:ascii="华文中宋" w:hAnsi="华文中宋" w:eastAsia="华文中宋"/>
                <w:b/>
                <w:color w:val="000000"/>
                <w:sz w:val="30"/>
                <w:szCs w:val="30"/>
              </w:rPr>
              <w:t>表一：推荐候选人情况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620" w:type="dxa"/>
            <w:tcBorders>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姓    名</w:t>
            </w:r>
          </w:p>
        </w:tc>
        <w:tc>
          <w:tcPr>
            <w:tcW w:w="2104"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蔡科云</w:t>
            </w:r>
          </w:p>
        </w:tc>
        <w:tc>
          <w:tcPr>
            <w:tcW w:w="127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性    别</w:t>
            </w:r>
          </w:p>
        </w:tc>
        <w:tc>
          <w:tcPr>
            <w:tcW w:w="2016" w:type="dxa"/>
            <w:tcBorders>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男</w:t>
            </w:r>
          </w:p>
        </w:tc>
        <w:tc>
          <w:tcPr>
            <w:tcW w:w="1984" w:type="dxa"/>
            <w:vMerge w:val="restart"/>
            <w:tcBorders>
              <w:left w:val="single" w:color="000000" w:sz="4" w:space="0"/>
            </w:tcBorders>
            <w:vAlign w:val="center"/>
          </w:tcPr>
          <w:p>
            <w:pPr>
              <w:snapToGrid w:val="0"/>
              <w:jc w:val="center"/>
              <w:rPr>
                <w:rFonts w:ascii="宋体" w:hAnsi="宋体"/>
                <w:b/>
                <w:color w:val="000000"/>
                <w:sz w:val="24"/>
              </w:rPr>
            </w:pPr>
            <w:r>
              <w:rPr>
                <w:rFonts w:ascii="宋体" w:hAnsi="宋体"/>
                <w:b/>
                <w:color w:val="000000"/>
                <w:sz w:val="24"/>
              </w:rPr>
              <w:drawing>
                <wp:anchor distT="0" distB="0" distL="114300" distR="114300" simplePos="0" relativeHeight="251659264" behindDoc="0" locked="0" layoutInCell="1" allowOverlap="1">
                  <wp:simplePos x="0" y="0"/>
                  <wp:positionH relativeFrom="character">
                    <wp:posOffset>-601345</wp:posOffset>
                  </wp:positionH>
                  <wp:positionV relativeFrom="paragraph">
                    <wp:posOffset>1905</wp:posOffset>
                  </wp:positionV>
                  <wp:extent cx="1179195" cy="1651000"/>
                  <wp:effectExtent l="0" t="0" r="1905" b="6350"/>
                  <wp:wrapNone/>
                  <wp:docPr id="4" name="图片 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true" noChangeArrowheads="true"/>
                          </pic:cNvPicPr>
                        </pic:nvPicPr>
                        <pic:blipFill>
                          <a:blip r:embed="rId5" cstate="print">
                            <a:extLst>
                              <a:ext uri="{28A0092B-C50C-407E-A947-70E740481C1C}">
                                <a14:useLocalDpi xmlns:a14="http://schemas.microsoft.com/office/drawing/2010/main" val="false"/>
                              </a:ext>
                            </a:extLst>
                          </a:blip>
                          <a:srcRect/>
                          <a:stretch>
                            <a:fillRect/>
                          </a:stretch>
                        </pic:blipFill>
                        <pic:spPr>
                          <a:xfrm>
                            <a:off x="0" y="0"/>
                            <a:ext cx="1179195" cy="1651000"/>
                          </a:xfrm>
                          <a:prstGeom prst="rect">
                            <a:avLst/>
                          </a:prstGeom>
                          <a:noFill/>
                        </pic:spPr>
                      </pic:pic>
                    </a:graphicData>
                  </a:graphic>
                </wp:anchor>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620" w:type="dxa"/>
            <w:tcBorders>
              <w:top w:val="single" w:color="000000"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出生日期</w:t>
            </w:r>
          </w:p>
        </w:tc>
        <w:tc>
          <w:tcPr>
            <w:tcW w:w="2104"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1</w:t>
            </w:r>
            <w:r>
              <w:rPr>
                <w:rFonts w:ascii="宋体" w:hAnsi="宋体"/>
                <w:b/>
                <w:color w:val="000000"/>
                <w:sz w:val="24"/>
              </w:rPr>
              <w:t>978.8.15</w:t>
            </w:r>
          </w:p>
        </w:tc>
        <w:tc>
          <w:tcPr>
            <w:tcW w:w="127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民    族</w:t>
            </w:r>
          </w:p>
        </w:tc>
        <w:tc>
          <w:tcPr>
            <w:tcW w:w="2016" w:type="dxa"/>
            <w:tcBorders>
              <w:top w:val="single" w:color="000000"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汉</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atLeast"/>
        </w:trPr>
        <w:tc>
          <w:tcPr>
            <w:tcW w:w="1620" w:type="dxa"/>
            <w:tcBorders>
              <w:top w:val="single" w:color="000000" w:sz="4" w:space="0"/>
              <w:bottom w:val="single" w:color="auto"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政治面貌</w:t>
            </w:r>
          </w:p>
        </w:tc>
        <w:tc>
          <w:tcPr>
            <w:tcW w:w="2104"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中共党员</w:t>
            </w:r>
          </w:p>
        </w:tc>
        <w:tc>
          <w:tcPr>
            <w:tcW w:w="127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学    历</w:t>
            </w:r>
          </w:p>
        </w:tc>
        <w:tc>
          <w:tcPr>
            <w:tcW w:w="2016" w:type="dxa"/>
            <w:tcBorders>
              <w:top w:val="single" w:color="000000" w:sz="4" w:space="0"/>
              <w:left w:val="single" w:color="000000" w:sz="4" w:space="0"/>
              <w:bottom w:val="single" w:color="auto" w:sz="4" w:space="0"/>
            </w:tcBorders>
            <w:vAlign w:val="center"/>
          </w:tcPr>
          <w:p>
            <w:pPr>
              <w:snapToGrid w:val="0"/>
              <w:jc w:val="center"/>
              <w:rPr>
                <w:rFonts w:ascii="宋体" w:hAnsi="宋体"/>
                <w:b/>
                <w:color w:val="000000"/>
                <w:sz w:val="24"/>
              </w:rPr>
            </w:pPr>
            <w:r>
              <w:rPr>
                <w:rFonts w:hint="eastAsia" w:ascii="宋体" w:hAnsi="宋体"/>
                <w:b/>
                <w:color w:val="000000"/>
                <w:sz w:val="24"/>
              </w:rPr>
              <w:t>研究生</w:t>
            </w: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trPr>
        <w:tc>
          <w:tcPr>
            <w:tcW w:w="1620" w:type="dxa"/>
            <w:tcBorders>
              <w:top w:val="single" w:color="auto" w:sz="4" w:space="0"/>
              <w:bottom w:val="single" w:color="000000" w:sz="4" w:space="0"/>
              <w:right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技术职称</w:t>
            </w:r>
          </w:p>
        </w:tc>
        <w:tc>
          <w:tcPr>
            <w:tcW w:w="2104"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教授</w:t>
            </w:r>
          </w:p>
        </w:tc>
        <w:tc>
          <w:tcPr>
            <w:tcW w:w="1276" w:type="dxa"/>
            <w:tcBorders>
              <w:top w:val="single" w:color="auto" w:sz="4" w:space="0"/>
              <w:left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行政职务</w:t>
            </w:r>
          </w:p>
        </w:tc>
        <w:tc>
          <w:tcPr>
            <w:tcW w:w="2016" w:type="dxa"/>
            <w:tcBorders>
              <w:top w:val="single" w:color="auto" w:sz="4" w:space="0"/>
              <w:left w:val="single" w:color="000000" w:sz="4" w:space="0"/>
              <w:bottom w:val="single" w:color="000000" w:sz="4" w:space="0"/>
            </w:tcBorders>
            <w:vAlign w:val="center"/>
          </w:tcPr>
          <w:p>
            <w:pPr>
              <w:snapToGrid w:val="0"/>
              <w:jc w:val="left"/>
              <w:rPr>
                <w:rFonts w:ascii="宋体" w:hAnsi="宋体"/>
                <w:b/>
                <w:color w:val="000000"/>
                <w:sz w:val="24"/>
              </w:rPr>
            </w:pPr>
          </w:p>
        </w:tc>
        <w:tc>
          <w:tcPr>
            <w:tcW w:w="1984" w:type="dxa"/>
            <w:vMerge w:val="continue"/>
            <w:tcBorders>
              <w:left w:val="single" w:color="000000" w:sz="4" w:space="0"/>
            </w:tcBorders>
            <w:vAlign w:val="center"/>
          </w:tcPr>
          <w:p>
            <w:pPr>
              <w:snapToGrid w:val="0"/>
              <w:jc w:val="center"/>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工作单位</w:t>
            </w:r>
          </w:p>
        </w:tc>
        <w:tc>
          <w:tcPr>
            <w:tcW w:w="5396" w:type="dxa"/>
            <w:gridSpan w:val="3"/>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新疆大学法学院</w:t>
            </w:r>
          </w:p>
        </w:tc>
        <w:tc>
          <w:tcPr>
            <w:tcW w:w="1984" w:type="dxa"/>
            <w:vMerge w:val="continue"/>
            <w:tcBorders>
              <w:left w:val="single" w:color="000000" w:sz="4" w:space="0"/>
            </w:tcBorders>
            <w:vAlign w:val="center"/>
          </w:tcPr>
          <w:p>
            <w:pPr>
              <w:snapToGrid w:val="0"/>
              <w:jc w:val="left"/>
              <w:rPr>
                <w:rFonts w:ascii="宋体" w:hAnsi="宋体"/>
                <w:b/>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rPr>
        <w:tc>
          <w:tcPr>
            <w:tcW w:w="1620" w:type="dxa"/>
            <w:tcBorders>
              <w:top w:val="single" w:color="000000" w:sz="4" w:space="0"/>
              <w:bottom w:val="single" w:color="000000" w:sz="4" w:space="0"/>
            </w:tcBorders>
            <w:vAlign w:val="center"/>
          </w:tcPr>
          <w:p>
            <w:pPr>
              <w:snapToGrid w:val="0"/>
              <w:jc w:val="center"/>
              <w:rPr>
                <w:rFonts w:ascii="宋体" w:hAnsi="宋体"/>
                <w:b/>
                <w:color w:val="000000"/>
                <w:sz w:val="24"/>
              </w:rPr>
            </w:pPr>
            <w:r>
              <w:rPr>
                <w:rFonts w:hint="eastAsia" w:ascii="宋体" w:hAnsi="宋体"/>
                <w:b/>
                <w:color w:val="000000"/>
                <w:sz w:val="24"/>
              </w:rPr>
              <w:t>通讯地址</w:t>
            </w:r>
          </w:p>
        </w:tc>
        <w:tc>
          <w:tcPr>
            <w:tcW w:w="7380" w:type="dxa"/>
            <w:gridSpan w:val="4"/>
            <w:tcBorders>
              <w:top w:val="single" w:color="000000" w:sz="4" w:space="0"/>
              <w:bottom w:val="single" w:color="000000" w:sz="4" w:space="0"/>
            </w:tcBorders>
            <w:vAlign w:val="center"/>
          </w:tcPr>
          <w:p>
            <w:pPr>
              <w:snapToGrid w:val="0"/>
              <w:jc w:val="left"/>
              <w:rPr>
                <w:rFonts w:ascii="宋体" w:hAnsi="宋体"/>
                <w:b/>
                <w:color w:val="000000"/>
                <w:sz w:val="24"/>
              </w:rPr>
            </w:pPr>
            <w:r>
              <w:rPr>
                <w:rFonts w:hint="eastAsia" w:ascii="宋体" w:hAnsi="宋体"/>
                <w:b/>
                <w:color w:val="000000"/>
                <w:sz w:val="24"/>
              </w:rPr>
              <w:t>乌鲁木齐天山区胜利路666号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01"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ascii="宋体" w:hAnsi="宋体"/>
                <w:b/>
                <w:color w:val="000000"/>
                <w:sz w:val="30"/>
                <w:szCs w:val="30"/>
              </w:rPr>
            </w:pPr>
            <w:r>
              <w:rPr>
                <w:rFonts w:hint="eastAsia" w:ascii="宋体" w:hAnsi="宋体"/>
                <w:b/>
                <w:color w:val="000000"/>
                <w:sz w:val="30"/>
                <w:szCs w:val="30"/>
              </w:rPr>
              <w:t>重要学术成果</w:t>
            </w:r>
          </w:p>
          <w:p>
            <w:pPr>
              <w:tabs>
                <w:tab w:val="left" w:pos="4185"/>
              </w:tabs>
              <w:snapToGrid w:val="0"/>
              <w:jc w:val="left"/>
              <w:rPr>
                <w:rFonts w:ascii="楷体_GB2312" w:hAnsi="楷体" w:eastAsia="楷体_GB2312"/>
                <w:b/>
                <w:color w:val="000000"/>
                <w:sz w:val="24"/>
              </w:rPr>
            </w:pPr>
            <w:r>
              <w:rPr>
                <w:rFonts w:hint="eastAsia" w:ascii="楷体_GB2312" w:hAnsi="楷体" w:eastAsia="楷体_GB2312"/>
                <w:b/>
                <w:color w:val="000000"/>
                <w:sz w:val="24"/>
              </w:rPr>
              <w:t>（包括专著和论文，只列书名和篇名即可。论文仅限于发表在核心期刊或全国性重要报纸上的。请注明署名方式、发表或出版时间、刊物或出版社、字数。代表性著作和论文请注明中国知网统计的被引用数。）</w:t>
            </w:r>
          </w:p>
          <w:p>
            <w:pPr>
              <w:keepNext w:val="0"/>
              <w:keepLines w:val="0"/>
              <w:pageBreakBefore w:val="0"/>
              <w:widowControl w:val="0"/>
              <w:tabs>
                <w:tab w:val="left" w:pos="4185"/>
              </w:tabs>
              <w:kinsoku/>
              <w:wordWrap/>
              <w:overflowPunct/>
              <w:topLinePunct w:val="0"/>
              <w:autoSpaceDE/>
              <w:autoSpaceDN/>
              <w:bidi w:val="0"/>
              <w:adjustRightInd/>
              <w:snapToGrid w:val="0"/>
              <w:spacing w:line="340" w:lineRule="exact"/>
              <w:ind w:firstLine="560" w:firstLineChars="200"/>
              <w:jc w:val="left"/>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专著：</w:t>
            </w:r>
          </w:p>
          <w:p>
            <w:pPr>
              <w:keepNext w:val="0"/>
              <w:keepLines w:val="0"/>
              <w:pageBreakBefore w:val="0"/>
              <w:widowControl w:val="0"/>
              <w:kinsoku/>
              <w:wordWrap/>
              <w:overflowPunct/>
              <w:topLinePunct w:val="0"/>
              <w:autoSpaceDE/>
              <w:autoSpaceDN/>
              <w:bidi w:val="0"/>
              <w:adjustRightInd/>
              <w:spacing w:line="34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中国慈善募捐法制建设（独著），北京：中国社会科学出版社2017年12月出版（30.4万字，</w:t>
            </w:r>
            <w:r>
              <w:rPr>
                <w:rFonts w:hint="eastAsia" w:ascii="宋体" w:hAnsi="宋体"/>
                <w:b/>
                <w:color w:val="000000"/>
                <w:sz w:val="24"/>
              </w:rPr>
              <w:t>代表性著作</w:t>
            </w:r>
            <w:r>
              <w:rPr>
                <w:rFonts w:hint="eastAsia" w:ascii="仿宋_GB2312" w:hAnsi="宋体" w:eastAsia="仿宋_GB2312"/>
                <w:b/>
                <w:color w:val="000000"/>
                <w:sz w:val="24"/>
              </w:rPr>
              <w:t>，</w:t>
            </w:r>
            <w:r>
              <w:rPr>
                <w:rFonts w:hint="eastAsia" w:ascii="仿宋_GB2312" w:hAnsi="宋体" w:eastAsia="仿宋_GB2312"/>
                <w:bCs/>
                <w:color w:val="000000"/>
                <w:sz w:val="24"/>
              </w:rPr>
              <w:t>被引16次）</w:t>
            </w:r>
          </w:p>
          <w:p>
            <w:pPr>
              <w:keepNext w:val="0"/>
              <w:keepLines w:val="0"/>
              <w:pageBreakBefore w:val="0"/>
              <w:widowControl w:val="0"/>
              <w:tabs>
                <w:tab w:val="left" w:pos="4185"/>
              </w:tabs>
              <w:kinsoku/>
              <w:wordWrap/>
              <w:overflowPunct/>
              <w:topLinePunct w:val="0"/>
              <w:autoSpaceDE/>
              <w:autoSpaceDN/>
              <w:bidi w:val="0"/>
              <w:adjustRightInd/>
              <w:snapToGrid w:val="0"/>
              <w:spacing w:line="340" w:lineRule="exact"/>
              <w:ind w:firstLine="560" w:firstLineChars="200"/>
              <w:jc w:val="left"/>
              <w:textAlignment w:val="auto"/>
              <w:rPr>
                <w:rFonts w:ascii="楷体" w:hAnsi="楷体" w:eastAsia="楷体" w:cs="楷体"/>
                <w:sz w:val="28"/>
                <w:szCs w:val="28"/>
                <w:lang w:eastAsia="zh-Hans"/>
              </w:rPr>
            </w:pPr>
            <w:r>
              <w:rPr>
                <w:rFonts w:hint="eastAsia" w:ascii="楷体" w:hAnsi="楷体" w:eastAsia="楷体" w:cs="楷体"/>
                <w:sz w:val="28"/>
                <w:szCs w:val="28"/>
                <w:lang w:eastAsia="zh-Hans"/>
              </w:rPr>
              <w:t>主要论文：</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我国商品房预售制度的存与废，排名第二，载《法学评论》2008年第1期。（被引80次）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论我国公司法的时代局限与机制突破，排名第二，载《中南财经政法大学学报》2003年第6期。（被引3次）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我国的劣势群体问题与法律对策，独撰，载《湖北大学学报》2006年第5期。（被引13次）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论政府与社会组织的合作扶贫及法律治理，独撰，载《国家行政学院学报》2013年第2期。（被引49次）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胡适的新文化知性与民主政道，独撰，载《湖北大学学报》2013年第1期。（被引2次）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从倾斜到平衡：我国城乡规划法治的现在时态与未来期待，独撰，载《华中科技大学学报》2013年第3期。（被引5次）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政府与社会组织合作扶贫的权力模式与推进方式，独撰，载《中国行政管理》2014年第9期。该文被人大复印报刊资料全文转载《公共行政》2015年第1期。（</w:t>
            </w:r>
            <w:r>
              <w:rPr>
                <w:rFonts w:hint="eastAsia" w:ascii="宋体" w:hAnsi="宋体"/>
                <w:b/>
                <w:color w:val="000000"/>
                <w:sz w:val="24"/>
              </w:rPr>
              <w:t>代表性论文</w:t>
            </w:r>
            <w:r>
              <w:rPr>
                <w:rFonts w:hint="eastAsia" w:ascii="仿宋_GB2312" w:hAnsi="宋体" w:eastAsia="仿宋_GB2312"/>
                <w:b/>
                <w:color w:val="000000"/>
                <w:sz w:val="24"/>
              </w:rPr>
              <w:t>，</w:t>
            </w:r>
            <w:r>
              <w:rPr>
                <w:rFonts w:hint="eastAsia" w:ascii="仿宋_GB2312" w:hAnsi="宋体" w:eastAsia="仿宋_GB2312"/>
                <w:bCs/>
                <w:color w:val="000000"/>
                <w:sz w:val="24"/>
              </w:rPr>
              <w:t>被引157次）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为人民主体地位护航，独撰，载《中国教育报》理论版2014年12月12日。（被引5次）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农村村民环境态度与环保行为研究——基于湖北部分农村居民的问卷调查，第一，载《湖北行政学院学报》2015年第3期。（被引11次）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我国家庭农场的商事人格与商事信用论，独撰，载《湖北大学学报(哲学社会科学版)》2018年第2期。（被引9次）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社会组织募捐行为的慈善法塑造:以过程控制为视角，独撰，载《学习与实践》2019年第10期。（被引4次）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德法兼修式法学教育与传统书院精神的契合与对接，排名第一，载《法学教育研究》2019年2期。（被引4次）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综合执法下沉基层的整体性治理研究，排名第一，载《湖北警官学院学报》2019年第6期。（被引19次）</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“学院—书院对接”视域下法律高端领军人才培养机制探讨，排名第一，载《中国法学教育年刊》（2019·第七卷），法律出版社2020年12月出版。（</w:t>
            </w:r>
            <w:r>
              <w:rPr>
                <w:rFonts w:hint="eastAsia" w:ascii="宋体" w:hAnsi="宋体"/>
                <w:b/>
                <w:color w:val="000000"/>
                <w:sz w:val="24"/>
              </w:rPr>
              <w:t>代表性论文</w:t>
            </w:r>
            <w:r>
              <w:rPr>
                <w:rFonts w:hint="eastAsia" w:ascii="仿宋_GB2312" w:hAnsi="宋体" w:eastAsia="仿宋_GB2312"/>
                <w:b/>
                <w:color w:val="000000"/>
                <w:sz w:val="24"/>
              </w:rPr>
              <w:t>）</w:t>
            </w:r>
          </w:p>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ascii="仿宋_GB2312" w:hAnsi="宋体" w:eastAsia="仿宋_GB2312"/>
                <w:bCs/>
                <w:color w:val="000000"/>
                <w:sz w:val="24"/>
              </w:rPr>
            </w:pPr>
            <w:r>
              <w:rPr>
                <w:rFonts w:hint="eastAsia" w:ascii="仿宋_GB2312" w:hAnsi="宋体" w:eastAsia="仿宋_GB2312"/>
                <w:bCs/>
                <w:color w:val="000000"/>
                <w:sz w:val="24"/>
              </w:rPr>
              <w:t>论我国小商贩营商</w:t>
            </w:r>
            <w:bookmarkStart w:id="0" w:name="_GoBack"/>
            <w:bookmarkEnd w:id="0"/>
            <w:r>
              <w:rPr>
                <w:rFonts w:hint="eastAsia" w:ascii="仿宋_GB2312" w:hAnsi="宋体" w:eastAsia="仿宋_GB2312"/>
                <w:bCs/>
                <w:color w:val="000000"/>
                <w:sz w:val="24"/>
              </w:rPr>
              <w:t>资格登记之分层，排名第一，载《河南财经政法大学学报》2020年第5期。（被引4次）</w:t>
            </w:r>
          </w:p>
          <w:p>
            <w:pPr>
              <w:keepNext w:val="0"/>
              <w:keepLines w:val="0"/>
              <w:pageBreakBefore w:val="0"/>
              <w:widowControl w:val="0"/>
              <w:kinsoku/>
              <w:wordWrap/>
              <w:overflowPunct/>
              <w:topLinePunct w:val="0"/>
              <w:autoSpaceDE/>
              <w:autoSpaceDN/>
              <w:bidi w:val="0"/>
              <w:adjustRightInd/>
              <w:snapToGrid/>
              <w:spacing w:after="156" w:afterLines="50" w:line="320" w:lineRule="exact"/>
              <w:ind w:firstLine="480" w:firstLineChars="200"/>
              <w:textAlignment w:val="auto"/>
              <w:rPr>
                <w:rFonts w:ascii="楷体_GB2312" w:hAnsi="楷体" w:eastAsia="楷体_GB2312"/>
                <w:b/>
                <w:color w:val="000000"/>
                <w:sz w:val="24"/>
              </w:rPr>
            </w:pPr>
            <w:r>
              <w:rPr>
                <w:rFonts w:hint="eastAsia" w:ascii="仿宋_GB2312" w:hAnsi="宋体" w:eastAsia="仿宋_GB2312"/>
                <w:bCs/>
                <w:color w:val="000000"/>
                <w:sz w:val="24"/>
              </w:rPr>
              <w:t>民营经济高质量发展的法治支撑体系论，独撰，载《晋阳学刊》2022年第1期，该文被《高等学校文科学术文摘》2022年第2期卡片转载。（</w:t>
            </w:r>
            <w:r>
              <w:rPr>
                <w:rFonts w:hint="eastAsia" w:ascii="宋体" w:hAnsi="宋体"/>
                <w:b/>
                <w:color w:val="000000"/>
                <w:sz w:val="24"/>
              </w:rPr>
              <w:t>代表性论文</w:t>
            </w:r>
            <w:r>
              <w:rPr>
                <w:rFonts w:hint="eastAsia" w:ascii="仿宋_GB2312" w:hAnsi="宋体" w:eastAsia="仿宋_GB2312"/>
                <w:b/>
                <w:color w:val="000000"/>
                <w:sz w:val="24"/>
              </w:rPr>
              <w:t>，</w:t>
            </w:r>
            <w:r>
              <w:rPr>
                <w:rFonts w:hint="eastAsia" w:ascii="仿宋_GB2312" w:hAnsi="宋体" w:eastAsia="仿宋_GB2312"/>
                <w:bCs/>
                <w:color w:val="000000"/>
                <w:sz w:val="24"/>
              </w:rPr>
              <w:t>被引2次）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73" w:hRule="atLeast"/>
        </w:trPr>
        <w:tc>
          <w:tcPr>
            <w:tcW w:w="9000" w:type="dxa"/>
            <w:gridSpan w:val="5"/>
            <w:tcBorders>
              <w:top w:val="single" w:color="auto" w:sz="4" w:space="0"/>
              <w:bottom w:val="single" w:color="000000" w:sz="4" w:space="0"/>
            </w:tcBorders>
          </w:tcPr>
          <w:p>
            <w:pPr>
              <w:tabs>
                <w:tab w:val="left" w:pos="4185"/>
              </w:tabs>
              <w:snapToGrid w:val="0"/>
              <w:spacing w:before="156" w:beforeLines="50"/>
              <w:jc w:val="center"/>
              <w:rPr>
                <w:rFonts w:cs="Arial"/>
                <w:b/>
                <w:kern w:val="0"/>
                <w:sz w:val="30"/>
                <w:szCs w:val="30"/>
              </w:rPr>
            </w:pPr>
            <w:r>
              <w:rPr>
                <w:rFonts w:cs="Arial"/>
                <w:b/>
                <w:kern w:val="0"/>
                <w:sz w:val="30"/>
                <w:szCs w:val="30"/>
              </w:rPr>
              <w:t>获得奖项</w:t>
            </w:r>
            <w:r>
              <w:rPr>
                <w:rFonts w:hint="eastAsia" w:cs="Arial"/>
                <w:b/>
                <w:kern w:val="0"/>
                <w:sz w:val="30"/>
                <w:szCs w:val="30"/>
              </w:rPr>
              <w:t>和表彰</w:t>
            </w:r>
          </w:p>
          <w:p>
            <w:pPr>
              <w:tabs>
                <w:tab w:val="left" w:pos="4185"/>
              </w:tabs>
              <w:snapToGrid w:val="0"/>
              <w:jc w:val="center"/>
              <w:rPr>
                <w:rFonts w:ascii="楷体" w:hAnsi="楷体" w:eastAsia="楷体" w:cs="Arial"/>
                <w:b/>
                <w:kern w:val="0"/>
                <w:sz w:val="24"/>
              </w:rPr>
            </w:pPr>
            <w:r>
              <w:rPr>
                <w:rFonts w:hint="eastAsia" w:ascii="楷体" w:hAnsi="楷体" w:eastAsia="楷体" w:cs="Arial"/>
                <w:b/>
                <w:kern w:val="0"/>
                <w:sz w:val="24"/>
              </w:rPr>
              <w:t>（请注明获得时间及等级）</w:t>
            </w:r>
          </w:p>
          <w:p>
            <w:pPr>
              <w:tabs>
                <w:tab w:val="left" w:pos="4185"/>
              </w:tabs>
              <w:snapToGrid w:val="0"/>
              <w:jc w:val="center"/>
              <w:rPr>
                <w:rFonts w:cs="Arial"/>
                <w:kern w:val="0"/>
                <w:sz w:val="32"/>
                <w:szCs w:val="32"/>
              </w:rPr>
            </w:pPr>
          </w:p>
          <w:p>
            <w:pPr>
              <w:tabs>
                <w:tab w:val="left" w:pos="4185"/>
              </w:tabs>
              <w:snapToGrid w:val="0"/>
              <w:ind w:firstLine="600" w:firstLineChars="200"/>
              <w:jc w:val="left"/>
              <w:rPr>
                <w:rFonts w:ascii="仿宋_GB2312" w:hAnsi="宋体" w:eastAsia="仿宋_GB2312"/>
                <w:bCs/>
                <w:color w:val="000000"/>
                <w:sz w:val="30"/>
                <w:szCs w:val="30"/>
              </w:rPr>
            </w:pPr>
            <w:r>
              <w:rPr>
                <w:rFonts w:ascii="仿宋_GB2312" w:hAnsi="宋体" w:eastAsia="仿宋_GB2312"/>
                <w:bCs/>
                <w:color w:val="000000"/>
                <w:sz w:val="30"/>
                <w:szCs w:val="30"/>
              </w:rPr>
              <w:t>2016</w:t>
            </w:r>
            <w:r>
              <w:rPr>
                <w:rFonts w:hint="eastAsia" w:ascii="仿宋_GB2312" w:hAnsi="宋体" w:eastAsia="仿宋_GB2312"/>
                <w:bCs/>
                <w:color w:val="000000"/>
                <w:sz w:val="30"/>
                <w:szCs w:val="30"/>
              </w:rPr>
              <w:t>年</w:t>
            </w:r>
            <w:r>
              <w:rPr>
                <w:rFonts w:ascii="仿宋_GB2312" w:hAnsi="宋体" w:eastAsia="仿宋_GB2312"/>
                <w:bCs/>
                <w:color w:val="000000"/>
                <w:sz w:val="30"/>
                <w:szCs w:val="30"/>
              </w:rPr>
              <w:t>12</w:t>
            </w:r>
            <w:r>
              <w:rPr>
                <w:rFonts w:hint="eastAsia" w:ascii="仿宋_GB2312" w:hAnsi="宋体" w:eastAsia="仿宋_GB2312"/>
                <w:bCs/>
                <w:color w:val="000000"/>
                <w:sz w:val="30"/>
                <w:szCs w:val="30"/>
              </w:rPr>
              <w:t>月，主持团队调研报告《我省农村生活垃圾治理的现状调查与法治保障研究》，获得湖北省人民政府颁发“湖北省发展研究奖”奖项</w:t>
            </w:r>
            <w:r>
              <w:rPr>
                <w:rFonts w:hint="eastAsia" w:ascii="宋体" w:hAnsi="宋体"/>
                <w:b/>
                <w:color w:val="000000"/>
                <w:sz w:val="30"/>
                <w:szCs w:val="30"/>
              </w:rPr>
              <w:t>（省级）</w:t>
            </w:r>
            <w:r>
              <w:rPr>
                <w:rFonts w:hint="eastAsia" w:ascii="仿宋_GB2312" w:hAnsi="宋体" w:eastAsia="仿宋_GB2312"/>
                <w:bCs/>
                <w:color w:val="000000"/>
                <w:sz w:val="30"/>
                <w:szCs w:val="30"/>
              </w:rPr>
              <w:t>，排名第</w:t>
            </w:r>
            <w:r>
              <w:rPr>
                <w:rFonts w:ascii="仿宋_GB2312" w:hAnsi="宋体" w:eastAsia="仿宋_GB2312"/>
                <w:bCs/>
                <w:color w:val="000000"/>
                <w:sz w:val="30"/>
                <w:szCs w:val="30"/>
              </w:rPr>
              <w:t>1</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2017年</w:t>
            </w:r>
            <w:r>
              <w:rPr>
                <w:rFonts w:ascii="仿宋_GB2312" w:hAnsi="宋体" w:eastAsia="仿宋_GB2312"/>
                <w:bCs/>
                <w:color w:val="000000"/>
                <w:sz w:val="30"/>
                <w:szCs w:val="30"/>
              </w:rPr>
              <w:t>11</w:t>
            </w:r>
            <w:r>
              <w:rPr>
                <w:rFonts w:hint="eastAsia" w:ascii="仿宋_GB2312" w:hAnsi="宋体" w:eastAsia="仿宋_GB2312"/>
                <w:bCs/>
                <w:color w:val="000000"/>
                <w:sz w:val="30"/>
                <w:szCs w:val="30"/>
              </w:rPr>
              <w:t>月，科研论文《政府与社会组织合作扶贫的权力模式与推进方式》，获得武汉市第十五届优秀社会科学成果奖</w:t>
            </w:r>
            <w:r>
              <w:rPr>
                <w:rFonts w:hint="eastAsia" w:ascii="宋体" w:hAnsi="宋体"/>
                <w:b/>
                <w:color w:val="000000"/>
                <w:sz w:val="30"/>
                <w:szCs w:val="30"/>
              </w:rPr>
              <w:t>（省级）</w:t>
            </w:r>
            <w:r>
              <w:rPr>
                <w:rFonts w:hint="eastAsia" w:ascii="仿宋_GB2312" w:hAnsi="宋体" w:eastAsia="仿宋_GB2312"/>
                <w:bCs/>
                <w:color w:val="000000"/>
                <w:sz w:val="30"/>
                <w:szCs w:val="30"/>
              </w:rPr>
              <w:t>，排名第</w:t>
            </w:r>
            <w:r>
              <w:rPr>
                <w:rFonts w:ascii="仿宋_GB2312" w:hAnsi="宋体" w:eastAsia="仿宋_GB2312"/>
                <w:bCs/>
                <w:color w:val="000000"/>
                <w:sz w:val="30"/>
                <w:szCs w:val="30"/>
              </w:rPr>
              <w:t>1</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2017年11月,科研论文《农业供给侧改革中家庭农场的实体法进路》，获中国法学会主办湖北省法学会承办第九届法治湖北论坛一等奖，排名第</w:t>
            </w:r>
            <w:r>
              <w:rPr>
                <w:rFonts w:ascii="仿宋_GB2312" w:hAnsi="宋体" w:eastAsia="仿宋_GB2312"/>
                <w:bCs/>
                <w:color w:val="000000"/>
                <w:sz w:val="30"/>
                <w:szCs w:val="30"/>
              </w:rPr>
              <w:t>1</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2017年参加省委组织部关于开展“学习习近平总书记关于人才工作重要论述”理论研讨会征文，撰写《“领军人才”也要内强素质》作为遴选推荐的优秀文章，报送组织部。</w:t>
            </w:r>
          </w:p>
          <w:p>
            <w:pPr>
              <w:tabs>
                <w:tab w:val="left" w:pos="4185"/>
              </w:tabs>
              <w:snapToGrid w:val="0"/>
              <w:ind w:firstLine="600" w:firstLineChars="200"/>
              <w:jc w:val="left"/>
              <w:rPr>
                <w:rFonts w:ascii="仿宋_GB2312" w:hAnsi="宋体" w:eastAsia="仿宋_GB2312"/>
                <w:bCs/>
                <w:color w:val="000000"/>
                <w:sz w:val="30"/>
                <w:szCs w:val="30"/>
              </w:rPr>
            </w:pPr>
            <w:r>
              <w:rPr>
                <w:rFonts w:ascii="仿宋_GB2312" w:hAnsi="宋体" w:eastAsia="仿宋_GB2312"/>
                <w:bCs/>
                <w:color w:val="000000"/>
                <w:sz w:val="30"/>
                <w:szCs w:val="30"/>
              </w:rPr>
              <w:t>2013年5月</w:t>
            </w:r>
            <w:r>
              <w:rPr>
                <w:rFonts w:hint="eastAsia" w:ascii="仿宋_GB2312" w:hAnsi="宋体" w:eastAsia="仿宋_GB2312"/>
                <w:bCs/>
                <w:color w:val="000000"/>
                <w:sz w:val="30"/>
                <w:szCs w:val="30"/>
              </w:rPr>
              <w:t>，教学成果《“学、用、演”并举——商法学实践教学综合改革与实践》，</w:t>
            </w:r>
            <w:r>
              <w:rPr>
                <w:rFonts w:ascii="仿宋_GB2312" w:hAnsi="宋体" w:eastAsia="仿宋_GB2312"/>
                <w:bCs/>
                <w:color w:val="000000"/>
                <w:sz w:val="30"/>
                <w:szCs w:val="30"/>
              </w:rPr>
              <w:t>获教学成果奖二等奖</w:t>
            </w:r>
            <w:r>
              <w:rPr>
                <w:rFonts w:hint="eastAsia" w:ascii="仿宋_GB2312" w:hAnsi="宋体" w:eastAsia="仿宋_GB2312"/>
                <w:bCs/>
                <w:color w:val="000000"/>
                <w:sz w:val="30"/>
                <w:szCs w:val="30"/>
              </w:rPr>
              <w:t>（厅局级），排名第</w:t>
            </w:r>
            <w:r>
              <w:rPr>
                <w:rFonts w:ascii="仿宋_GB2312" w:hAnsi="宋体" w:eastAsia="仿宋_GB2312"/>
                <w:bCs/>
                <w:color w:val="000000"/>
                <w:sz w:val="30"/>
                <w:szCs w:val="30"/>
              </w:rPr>
              <w:t>1。</w:t>
            </w:r>
          </w:p>
          <w:p>
            <w:pPr>
              <w:tabs>
                <w:tab w:val="left" w:pos="4185"/>
              </w:tabs>
              <w:snapToGrid w:val="0"/>
              <w:ind w:firstLine="600" w:firstLineChars="200"/>
              <w:jc w:val="left"/>
              <w:rPr>
                <w:rFonts w:ascii="仿宋_GB2312" w:hAnsi="宋体" w:eastAsia="仿宋_GB2312"/>
                <w:bCs/>
                <w:color w:val="000000"/>
                <w:sz w:val="30"/>
                <w:szCs w:val="30"/>
              </w:rPr>
            </w:pPr>
            <w:r>
              <w:rPr>
                <w:rFonts w:ascii="仿宋_GB2312" w:hAnsi="宋体" w:eastAsia="仿宋_GB2312"/>
                <w:bCs/>
                <w:color w:val="000000"/>
                <w:sz w:val="30"/>
                <w:szCs w:val="30"/>
              </w:rPr>
              <w:t>2016</w:t>
            </w:r>
            <w:r>
              <w:rPr>
                <w:rFonts w:hint="eastAsia" w:ascii="仿宋_GB2312" w:hAnsi="宋体" w:eastAsia="仿宋_GB2312"/>
                <w:bCs/>
                <w:color w:val="000000"/>
                <w:sz w:val="30"/>
                <w:szCs w:val="30"/>
              </w:rPr>
              <w:t>年</w:t>
            </w:r>
            <w:r>
              <w:rPr>
                <w:rFonts w:ascii="仿宋_GB2312" w:hAnsi="宋体" w:eastAsia="仿宋_GB2312"/>
                <w:bCs/>
                <w:color w:val="000000"/>
                <w:sz w:val="30"/>
                <w:szCs w:val="30"/>
              </w:rPr>
              <w:t>12</w:t>
            </w:r>
            <w:r>
              <w:rPr>
                <w:rFonts w:hint="eastAsia" w:ascii="仿宋_GB2312" w:hAnsi="宋体" w:eastAsia="仿宋_GB2312"/>
                <w:bCs/>
                <w:color w:val="000000"/>
                <w:sz w:val="30"/>
                <w:szCs w:val="30"/>
              </w:rPr>
              <w:t>月，教学成果《法学专业“三五”人才培养模式的探索与实践》获省教学成果奖二等奖（省级），排名第</w:t>
            </w:r>
            <w:r>
              <w:rPr>
                <w:rFonts w:ascii="仿宋_GB2312" w:hAnsi="宋体" w:eastAsia="仿宋_GB2312"/>
                <w:bCs/>
                <w:color w:val="000000"/>
                <w:sz w:val="30"/>
                <w:szCs w:val="30"/>
              </w:rPr>
              <w:t>7</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r>
              <w:rPr>
                <w:rFonts w:ascii="仿宋_GB2312" w:hAnsi="宋体" w:eastAsia="仿宋_GB2312"/>
                <w:bCs/>
                <w:color w:val="000000"/>
                <w:sz w:val="30"/>
                <w:szCs w:val="30"/>
              </w:rPr>
              <w:t>2017</w:t>
            </w:r>
            <w:r>
              <w:rPr>
                <w:rFonts w:hint="eastAsia" w:ascii="仿宋_GB2312" w:hAnsi="宋体" w:eastAsia="仿宋_GB2312"/>
                <w:bCs/>
                <w:color w:val="000000"/>
                <w:sz w:val="30"/>
                <w:szCs w:val="30"/>
              </w:rPr>
              <w:t>年</w:t>
            </w:r>
            <w:r>
              <w:rPr>
                <w:rFonts w:ascii="仿宋_GB2312" w:hAnsi="宋体" w:eastAsia="仿宋_GB2312"/>
                <w:bCs/>
                <w:color w:val="000000"/>
                <w:sz w:val="30"/>
                <w:szCs w:val="30"/>
              </w:rPr>
              <w:t>11</w:t>
            </w:r>
            <w:r>
              <w:rPr>
                <w:rFonts w:hint="eastAsia" w:ascii="仿宋_GB2312" w:hAnsi="宋体" w:eastAsia="仿宋_GB2312"/>
                <w:bCs/>
                <w:color w:val="000000"/>
                <w:sz w:val="30"/>
                <w:szCs w:val="30"/>
              </w:rPr>
              <w:t>月，科研论文《农业供给侧改革中家庭农场的实体法进路》，获中国法学会主办湖北省法学会承办第九届法治湖北论坛一等奖，排名第1。</w:t>
            </w: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2019年1</w:t>
            </w:r>
            <w:r>
              <w:rPr>
                <w:rFonts w:ascii="仿宋_GB2312" w:hAnsi="宋体" w:eastAsia="仿宋_GB2312"/>
                <w:bCs/>
                <w:color w:val="000000"/>
                <w:sz w:val="30"/>
                <w:szCs w:val="30"/>
              </w:rPr>
              <w:t>1</w:t>
            </w:r>
            <w:r>
              <w:rPr>
                <w:rFonts w:hint="eastAsia" w:ascii="仿宋_GB2312" w:hAnsi="宋体" w:eastAsia="仿宋_GB2312"/>
                <w:bCs/>
                <w:color w:val="000000"/>
                <w:sz w:val="30"/>
                <w:szCs w:val="30"/>
              </w:rPr>
              <w:t>月，科研论文《基于发展理念的民营企业法治支撑体系研究》，获中国法学会指导，湖北、山西、河南、安徽、江西、湖南六省法学会共同主办的第十二届中部崛起法治论坛一等奖，排名第</w:t>
            </w:r>
            <w:r>
              <w:rPr>
                <w:rFonts w:ascii="仿宋_GB2312" w:hAnsi="宋体" w:eastAsia="仿宋_GB2312"/>
                <w:bCs/>
                <w:color w:val="000000"/>
                <w:sz w:val="30"/>
                <w:szCs w:val="30"/>
              </w:rPr>
              <w:t>2</w:t>
            </w:r>
            <w:r>
              <w:rPr>
                <w:rFonts w:hint="eastAsia" w:ascii="仿宋_GB2312" w:hAnsi="宋体" w:eastAsia="仿宋_GB2312"/>
                <w:bCs/>
                <w:color w:val="000000"/>
                <w:sz w:val="30"/>
                <w:szCs w:val="30"/>
              </w:rPr>
              <w:t>。</w:t>
            </w:r>
          </w:p>
          <w:p>
            <w:pPr>
              <w:tabs>
                <w:tab w:val="left" w:pos="4185"/>
              </w:tabs>
              <w:snapToGrid w:val="0"/>
              <w:ind w:firstLine="600" w:firstLineChars="200"/>
              <w:jc w:val="left"/>
              <w:rPr>
                <w:rFonts w:ascii="仿宋_GB2312" w:hAnsi="宋体" w:eastAsia="仿宋_GB2312"/>
                <w:bCs/>
                <w:color w:val="000000"/>
                <w:sz w:val="30"/>
                <w:szCs w:val="30"/>
              </w:rPr>
            </w:pPr>
            <w:r>
              <w:rPr>
                <w:rFonts w:hint="eastAsia" w:ascii="仿宋_GB2312" w:hAnsi="宋体" w:eastAsia="仿宋_GB2312"/>
                <w:bCs/>
                <w:color w:val="000000"/>
                <w:sz w:val="30"/>
                <w:szCs w:val="30"/>
              </w:rPr>
              <w:t>2022年6月，科研论文《全面依法治疆“坚持以人民为中心”的内源与外力》，获新疆维吾尔自治区社会科学联合会第十九届新疆社会科学界学术年会优秀奖，排名第</w:t>
            </w:r>
            <w:r>
              <w:rPr>
                <w:rFonts w:ascii="仿宋_GB2312" w:hAnsi="宋体" w:eastAsia="仿宋_GB2312"/>
                <w:bCs/>
                <w:color w:val="000000"/>
                <w:sz w:val="30"/>
                <w:szCs w:val="30"/>
              </w:rPr>
              <w:t>1</w:t>
            </w:r>
            <w:r>
              <w:rPr>
                <w:rFonts w:hint="eastAsia" w:ascii="仿宋_GB2312" w:hAnsi="宋体" w:eastAsia="仿宋_GB2312"/>
                <w:bCs/>
                <w:color w:val="000000"/>
                <w:sz w:val="30"/>
                <w:szCs w:val="30"/>
              </w:rPr>
              <w:t>。</w:t>
            </w:r>
          </w:p>
          <w:p>
            <w:pPr>
              <w:widowControl/>
              <w:adjustRightInd w:val="0"/>
              <w:snapToGrid w:val="0"/>
              <w:ind w:firstLine="480" w:firstLineChars="200"/>
              <w:jc w:val="left"/>
              <w:rPr>
                <w:rFonts w:ascii="宋体" w:hAnsi="宋体"/>
                <w:sz w:val="24"/>
              </w:rPr>
            </w:pPr>
          </w:p>
          <w:p>
            <w:pPr>
              <w:widowControl/>
              <w:adjustRightInd w:val="0"/>
              <w:snapToGrid w:val="0"/>
              <w:ind w:firstLine="480" w:firstLineChars="200"/>
              <w:jc w:val="left"/>
              <w:rPr>
                <w:rFonts w:ascii="宋体" w:hAnsi="宋体"/>
                <w:sz w:val="24"/>
              </w:rPr>
            </w:pPr>
          </w:p>
          <w:p>
            <w:pPr>
              <w:widowControl/>
              <w:adjustRightInd w:val="0"/>
              <w:snapToGrid w:val="0"/>
              <w:ind w:firstLine="480" w:firstLineChars="200"/>
              <w:jc w:val="left"/>
              <w:rPr>
                <w:rFonts w:ascii="宋体" w:hAnsi="宋体"/>
                <w:sz w:val="24"/>
              </w:rPr>
            </w:pPr>
          </w:p>
          <w:p>
            <w:pPr>
              <w:widowControl/>
              <w:adjustRightInd w:val="0"/>
              <w:snapToGrid w:val="0"/>
              <w:ind w:firstLine="480" w:firstLineChars="200"/>
              <w:jc w:val="left"/>
              <w:rPr>
                <w:rFonts w:ascii="宋体" w:hAnsi="宋体"/>
                <w:sz w:val="24"/>
              </w:rPr>
            </w:pPr>
          </w:p>
          <w:p>
            <w:pPr>
              <w:widowControl/>
              <w:adjustRightInd w:val="0"/>
              <w:snapToGrid w:val="0"/>
              <w:jc w:val="left"/>
              <w:rPr>
                <w:rFonts w:cs="Arial"/>
                <w:kern w:val="0"/>
                <w:sz w:val="32"/>
                <w:szCs w:val="32"/>
              </w:rPr>
            </w:pPr>
          </w:p>
        </w:tc>
      </w:tr>
    </w:tbl>
    <w:p>
      <w:pPr>
        <w:spacing w:line="20" w:lineRule="exact"/>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Times New Roman"/>
    <w:panose1 w:val="020B0606020202030204"/>
    <w:charset w:val="00"/>
    <w:family w:val="swiss"/>
    <w:pitch w:val="default"/>
    <w:sig w:usb0="00000000" w:usb1="00000000" w:usb2="00000000" w:usb3="00000000" w:csb0="0000009F" w:csb1="00000000"/>
  </w:font>
  <w:font w:name="仿宋">
    <w:panose1 w:val="02010609060101010101"/>
    <w:charset w:val="86"/>
    <w:family w:val="modern"/>
    <w:pitch w:val="default"/>
    <w:sig w:usb0="800002BF" w:usb1="38CF7CFA" w:usb2="00000016" w:usb3="00000000" w:csb0="00040001" w:csb1="00000000"/>
  </w:font>
  <w:font w:name="华文中宋">
    <w:altName w:val="汉仪中宋简"/>
    <w:panose1 w:val="02010600040101010101"/>
    <w:charset w:val="86"/>
    <w:family w:val="auto"/>
    <w:pitch w:val="default"/>
    <w:sig w:usb0="00000000" w:usb1="00000000" w:usb2="00000010" w:usb3="00000000" w:csb0="0004009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汉仪中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7B24C2"/>
    <w:multiLevelType w:val="singleLevel"/>
    <w:tmpl w:val="CF7B24C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AFFF087D"/>
    <w:rsid w:val="00017F47"/>
    <w:rsid w:val="00020006"/>
    <w:rsid w:val="00030BEF"/>
    <w:rsid w:val="000530AF"/>
    <w:rsid w:val="0007239D"/>
    <w:rsid w:val="00074F59"/>
    <w:rsid w:val="00086F5A"/>
    <w:rsid w:val="00087D3B"/>
    <w:rsid w:val="000E610E"/>
    <w:rsid w:val="00100316"/>
    <w:rsid w:val="00102F8D"/>
    <w:rsid w:val="00103073"/>
    <w:rsid w:val="00107865"/>
    <w:rsid w:val="00111F34"/>
    <w:rsid w:val="00124248"/>
    <w:rsid w:val="0012640C"/>
    <w:rsid w:val="001338E1"/>
    <w:rsid w:val="001539CD"/>
    <w:rsid w:val="00170D32"/>
    <w:rsid w:val="00192E02"/>
    <w:rsid w:val="001A2B0B"/>
    <w:rsid w:val="001B30F0"/>
    <w:rsid w:val="001B3509"/>
    <w:rsid w:val="001B7228"/>
    <w:rsid w:val="001D5342"/>
    <w:rsid w:val="001F108E"/>
    <w:rsid w:val="00211D15"/>
    <w:rsid w:val="00220D03"/>
    <w:rsid w:val="00224106"/>
    <w:rsid w:val="0022691A"/>
    <w:rsid w:val="00233101"/>
    <w:rsid w:val="00235CAE"/>
    <w:rsid w:val="00244B1B"/>
    <w:rsid w:val="00250A7E"/>
    <w:rsid w:val="002819B2"/>
    <w:rsid w:val="002A2CEE"/>
    <w:rsid w:val="002A42A2"/>
    <w:rsid w:val="002A7709"/>
    <w:rsid w:val="002B354E"/>
    <w:rsid w:val="002C76D9"/>
    <w:rsid w:val="002D3DC6"/>
    <w:rsid w:val="002E487B"/>
    <w:rsid w:val="00314053"/>
    <w:rsid w:val="003337D8"/>
    <w:rsid w:val="00341A2B"/>
    <w:rsid w:val="003464F2"/>
    <w:rsid w:val="0036433F"/>
    <w:rsid w:val="00394591"/>
    <w:rsid w:val="003A12B8"/>
    <w:rsid w:val="003F6DBA"/>
    <w:rsid w:val="004134C7"/>
    <w:rsid w:val="00431FCA"/>
    <w:rsid w:val="00466AA0"/>
    <w:rsid w:val="00475918"/>
    <w:rsid w:val="00480062"/>
    <w:rsid w:val="004811CD"/>
    <w:rsid w:val="004861C4"/>
    <w:rsid w:val="0049235B"/>
    <w:rsid w:val="00495CC1"/>
    <w:rsid w:val="004B1717"/>
    <w:rsid w:val="004D4EC7"/>
    <w:rsid w:val="0052358C"/>
    <w:rsid w:val="00574ACD"/>
    <w:rsid w:val="00580835"/>
    <w:rsid w:val="00585D83"/>
    <w:rsid w:val="00597AC6"/>
    <w:rsid w:val="005B3837"/>
    <w:rsid w:val="005B39A2"/>
    <w:rsid w:val="005D6F76"/>
    <w:rsid w:val="005F5A73"/>
    <w:rsid w:val="0061772C"/>
    <w:rsid w:val="00643DDC"/>
    <w:rsid w:val="00686A22"/>
    <w:rsid w:val="006973DA"/>
    <w:rsid w:val="006A7221"/>
    <w:rsid w:val="006E040A"/>
    <w:rsid w:val="006E067C"/>
    <w:rsid w:val="006E3B0F"/>
    <w:rsid w:val="006F1CA8"/>
    <w:rsid w:val="006F2B34"/>
    <w:rsid w:val="006F6943"/>
    <w:rsid w:val="00723A27"/>
    <w:rsid w:val="00734331"/>
    <w:rsid w:val="00740AD8"/>
    <w:rsid w:val="00746A88"/>
    <w:rsid w:val="0075365D"/>
    <w:rsid w:val="007550CA"/>
    <w:rsid w:val="007A0CB7"/>
    <w:rsid w:val="007A4341"/>
    <w:rsid w:val="007A6441"/>
    <w:rsid w:val="007F55BE"/>
    <w:rsid w:val="0081400B"/>
    <w:rsid w:val="00871544"/>
    <w:rsid w:val="0087320F"/>
    <w:rsid w:val="00876F0A"/>
    <w:rsid w:val="008C0D3A"/>
    <w:rsid w:val="008C29B7"/>
    <w:rsid w:val="008E5298"/>
    <w:rsid w:val="008E6594"/>
    <w:rsid w:val="00963EC8"/>
    <w:rsid w:val="0098217D"/>
    <w:rsid w:val="00995976"/>
    <w:rsid w:val="00996885"/>
    <w:rsid w:val="009A022A"/>
    <w:rsid w:val="009A1BF1"/>
    <w:rsid w:val="009A4D1B"/>
    <w:rsid w:val="009B115E"/>
    <w:rsid w:val="00A169CB"/>
    <w:rsid w:val="00A7061B"/>
    <w:rsid w:val="00A81147"/>
    <w:rsid w:val="00A82151"/>
    <w:rsid w:val="00A859D8"/>
    <w:rsid w:val="00AA51E1"/>
    <w:rsid w:val="00AB6486"/>
    <w:rsid w:val="00AF0423"/>
    <w:rsid w:val="00AF3912"/>
    <w:rsid w:val="00B20081"/>
    <w:rsid w:val="00B66307"/>
    <w:rsid w:val="00B668CD"/>
    <w:rsid w:val="00B93A45"/>
    <w:rsid w:val="00BB64FE"/>
    <w:rsid w:val="00BC0A86"/>
    <w:rsid w:val="00C13EF0"/>
    <w:rsid w:val="00C647CC"/>
    <w:rsid w:val="00C8082C"/>
    <w:rsid w:val="00C93210"/>
    <w:rsid w:val="00CA1EE4"/>
    <w:rsid w:val="00CB49BA"/>
    <w:rsid w:val="00CC6664"/>
    <w:rsid w:val="00D17865"/>
    <w:rsid w:val="00D238E3"/>
    <w:rsid w:val="00D24F1A"/>
    <w:rsid w:val="00D729E5"/>
    <w:rsid w:val="00D77783"/>
    <w:rsid w:val="00D939C0"/>
    <w:rsid w:val="00DA1D0E"/>
    <w:rsid w:val="00DC4179"/>
    <w:rsid w:val="00DC7011"/>
    <w:rsid w:val="00DD0135"/>
    <w:rsid w:val="00DE1964"/>
    <w:rsid w:val="00E10A38"/>
    <w:rsid w:val="00E21A0B"/>
    <w:rsid w:val="00E24B2A"/>
    <w:rsid w:val="00E31E2A"/>
    <w:rsid w:val="00E45A0B"/>
    <w:rsid w:val="00E46D6B"/>
    <w:rsid w:val="00E609E4"/>
    <w:rsid w:val="00E62AAA"/>
    <w:rsid w:val="00E774E9"/>
    <w:rsid w:val="00E9448A"/>
    <w:rsid w:val="00ED3BA2"/>
    <w:rsid w:val="00EF5C8E"/>
    <w:rsid w:val="00F044F0"/>
    <w:rsid w:val="00F04F4E"/>
    <w:rsid w:val="00F07E53"/>
    <w:rsid w:val="00F10304"/>
    <w:rsid w:val="00F1619C"/>
    <w:rsid w:val="00F17322"/>
    <w:rsid w:val="00F413BF"/>
    <w:rsid w:val="00F456F5"/>
    <w:rsid w:val="00F476A6"/>
    <w:rsid w:val="00F5217E"/>
    <w:rsid w:val="00F8695B"/>
    <w:rsid w:val="00FA4236"/>
    <w:rsid w:val="00FB06D9"/>
    <w:rsid w:val="00FB14C7"/>
    <w:rsid w:val="00FC1DEC"/>
    <w:rsid w:val="00FC20DE"/>
    <w:rsid w:val="00FC3440"/>
    <w:rsid w:val="00FC3A0C"/>
    <w:rsid w:val="00FD2138"/>
    <w:rsid w:val="0AB93145"/>
    <w:rsid w:val="0AFFAB9B"/>
    <w:rsid w:val="1EBD9178"/>
    <w:rsid w:val="2CEFB339"/>
    <w:rsid w:val="2EFBBC48"/>
    <w:rsid w:val="36FFAEBB"/>
    <w:rsid w:val="3B9D0C2F"/>
    <w:rsid w:val="3BBF1B45"/>
    <w:rsid w:val="3DFD2C26"/>
    <w:rsid w:val="3DFF8C80"/>
    <w:rsid w:val="3F5F2E86"/>
    <w:rsid w:val="3FAC72FC"/>
    <w:rsid w:val="3FDF6C0E"/>
    <w:rsid w:val="3FE95ABC"/>
    <w:rsid w:val="56EEFD7E"/>
    <w:rsid w:val="577F3F5D"/>
    <w:rsid w:val="57B74E1B"/>
    <w:rsid w:val="591FD8F5"/>
    <w:rsid w:val="5AAC40BB"/>
    <w:rsid w:val="5DD32290"/>
    <w:rsid w:val="5DF46E1D"/>
    <w:rsid w:val="5DFEE7D4"/>
    <w:rsid w:val="5F3743E3"/>
    <w:rsid w:val="5FBC2178"/>
    <w:rsid w:val="6F9B4CF3"/>
    <w:rsid w:val="6FAF0381"/>
    <w:rsid w:val="6FFF2EC6"/>
    <w:rsid w:val="71F769A3"/>
    <w:rsid w:val="7A8FFAC6"/>
    <w:rsid w:val="7AFB59A5"/>
    <w:rsid w:val="7BDFCBFF"/>
    <w:rsid w:val="7CFECE28"/>
    <w:rsid w:val="7DB18C74"/>
    <w:rsid w:val="7DBAEB37"/>
    <w:rsid w:val="7DBF1A34"/>
    <w:rsid w:val="7DEB2C32"/>
    <w:rsid w:val="7DFF523D"/>
    <w:rsid w:val="7E5F3199"/>
    <w:rsid w:val="7EF35ADA"/>
    <w:rsid w:val="7F7B04A8"/>
    <w:rsid w:val="7F7EF37E"/>
    <w:rsid w:val="7FA5EC14"/>
    <w:rsid w:val="7FD7D6B2"/>
    <w:rsid w:val="7FF37BAA"/>
    <w:rsid w:val="9DBC5BFE"/>
    <w:rsid w:val="A1BF2240"/>
    <w:rsid w:val="A7EB79A2"/>
    <w:rsid w:val="ABC2528A"/>
    <w:rsid w:val="ABFD3B40"/>
    <w:rsid w:val="AE8F304D"/>
    <w:rsid w:val="AFFF087D"/>
    <w:rsid w:val="B7D56515"/>
    <w:rsid w:val="B9EF54B5"/>
    <w:rsid w:val="BE3FDE16"/>
    <w:rsid w:val="BEFF65E4"/>
    <w:rsid w:val="BF6FC933"/>
    <w:rsid w:val="CFBFB63E"/>
    <w:rsid w:val="D7371D03"/>
    <w:rsid w:val="D7FE4373"/>
    <w:rsid w:val="DE7F24A6"/>
    <w:rsid w:val="DF3EEC67"/>
    <w:rsid w:val="E9FEE7E0"/>
    <w:rsid w:val="EBB69D4B"/>
    <w:rsid w:val="ED661AE8"/>
    <w:rsid w:val="EDFF9236"/>
    <w:rsid w:val="EEFDCF1B"/>
    <w:rsid w:val="EF358C7A"/>
    <w:rsid w:val="EFBFEC5E"/>
    <w:rsid w:val="F2715785"/>
    <w:rsid w:val="F337DC5C"/>
    <w:rsid w:val="F3D759E3"/>
    <w:rsid w:val="F4FBD8CA"/>
    <w:rsid w:val="F7AF7DD2"/>
    <w:rsid w:val="FAFBA160"/>
    <w:rsid w:val="FBBD5D09"/>
    <w:rsid w:val="FBDBA10B"/>
    <w:rsid w:val="FBF716D8"/>
    <w:rsid w:val="FBF77622"/>
    <w:rsid w:val="FBFDB07F"/>
    <w:rsid w:val="FE7F89ED"/>
    <w:rsid w:val="FF6D7F3E"/>
    <w:rsid w:val="FF84CC9A"/>
    <w:rsid w:val="FFAD001C"/>
    <w:rsid w:val="FFBF67D3"/>
    <w:rsid w:val="FFD77033"/>
    <w:rsid w:val="FFDF0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995</Words>
  <Characters>5673</Characters>
  <Lines>47</Lines>
  <Paragraphs>13</Paragraphs>
  <TotalTime>4</TotalTime>
  <ScaleCrop>false</ScaleCrop>
  <LinksUpToDate>false</LinksUpToDate>
  <CharactersWithSpaces>6655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2022-12-30T03:44:00Z</dcterms:created>
  <dc:creator>fxhuser</dc:creator>
  <cp:lastModifiedBy>fxhuser</cp:lastModifiedBy>
  <cp:lastPrinted>2023-01-14T21:56:00Z</cp:lastPrinted>
  <dcterms:modified xsi:type="dcterms:W3CDTF">2023-05-05T17:31:49Z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73867CD4A0F04BC19E3E44A25C00B142</vt:lpwstr>
  </property>
</Properties>
</file>