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hint="eastAsia"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hint="eastAsia" w:ascii="宋体" w:hAnsi="宋体"/>
          <w:b/>
          <w:bCs/>
          <w:sz w:val="32"/>
          <w:szCs w:val="32"/>
        </w:rPr>
      </w:pPr>
    </w:p>
    <w:p>
      <w:pPr>
        <w:jc w:val="center"/>
        <w:rPr>
          <w:rFonts w:hint="eastAsia"/>
        </w:rPr>
      </w:pPr>
    </w:p>
    <w:p>
      <w:pPr>
        <w:jc w:val="center"/>
        <w:rPr>
          <w:rFonts w:hint="eastAsia"/>
        </w:rPr>
      </w:pPr>
      <w:r>
        <w:drawing>
          <wp:inline distT="0" distB="0" distL="114300" distR="114300">
            <wp:extent cx="1483995" cy="1428750"/>
            <wp:effectExtent l="0" t="0" r="190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1483995" cy="142875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推荐表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ind w:firstLine="643" w:firstLineChars="200"/>
        <w:rPr>
          <w:rFonts w:hint="eastAsia"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赵玉</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hint="eastAsia" w:eastAsia="仿宋_GB2312"/>
          <w:b/>
          <w:bCs/>
          <w:sz w:val="32"/>
          <w:szCs w:val="32"/>
          <w:u w:val="single"/>
          <w:lang w:val="en-US" w:eastAsia="zh-CN"/>
        </w:rPr>
        <w:t>国家检察官学院</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Hans"/>
        </w:rPr>
        <w:t>中国法学会法学期刊研究会</w:t>
      </w:r>
      <w:r>
        <w:rPr>
          <w:rFonts w:hint="eastAsia" w:eastAsia="仿宋_GB2312"/>
          <w:b/>
          <w:bCs/>
          <w:sz w:val="32"/>
          <w:szCs w:val="32"/>
          <w:u w:val="single"/>
        </w:rPr>
        <w:t xml:space="preserve">     </w:t>
      </w:r>
    </w:p>
    <w:p>
      <w:pPr>
        <w:pStyle w:val="2"/>
        <w:ind w:firstLine="1484" w:firstLineChars="462"/>
        <w:rPr>
          <w:rFonts w:hint="default" w:eastAsia="仿宋_GB2312"/>
          <w:lang w:eastAsia="zh-Hans"/>
        </w:rPr>
      </w:pPr>
      <w:r>
        <w:rPr>
          <w:rFonts w:hint="default" w:eastAsia="仿宋_GB2312"/>
          <w:b/>
          <w:bCs/>
          <w:sz w:val="32"/>
          <w:szCs w:val="32"/>
          <w:u w:val="single"/>
        </w:rPr>
        <w:t xml:space="preserve">      </w:t>
      </w:r>
      <w:r>
        <w:rPr>
          <w:rFonts w:hint="eastAsia" w:eastAsia="仿宋_GB2312"/>
          <w:b/>
          <w:bCs/>
          <w:sz w:val="32"/>
          <w:szCs w:val="32"/>
          <w:u w:val="single"/>
          <w:lang w:val="en-US" w:eastAsia="zh-Hans"/>
        </w:rPr>
        <w:t>中国法学会检察学研究会</w:t>
      </w:r>
      <w:r>
        <w:rPr>
          <w:rFonts w:hint="default" w:eastAsia="仿宋_GB2312"/>
          <w:b/>
          <w:bCs/>
          <w:sz w:val="32"/>
          <w:szCs w:val="32"/>
          <w:u w:val="single"/>
          <w:lang w:eastAsia="zh-Hans"/>
        </w:rPr>
        <w:t xml:space="preserve">       </w:t>
      </w:r>
    </w:p>
    <w:p>
      <w:pPr>
        <w:snapToGrid w:val="0"/>
        <w:rPr>
          <w:rFonts w:hint="eastAsia" w:eastAsia="仿宋_GB2312"/>
          <w:b/>
          <w:bCs/>
          <w:szCs w:val="21"/>
          <w:u w:val="single"/>
        </w:rPr>
      </w:pPr>
    </w:p>
    <w:p>
      <w:pPr>
        <w:snapToGrid w:val="0"/>
        <w:rPr>
          <w:rFonts w:hint="eastAsia"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hint="eastAsia"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hint="eastAsia" w:eastAsia="仿宋_GB2312"/>
          <w:szCs w:val="21"/>
        </w:rPr>
      </w:pPr>
    </w:p>
    <w:p>
      <w:pPr>
        <w:spacing w:line="440" w:lineRule="exact"/>
        <w:jc w:val="center"/>
        <w:rPr>
          <w:rFonts w:hint="eastAsia"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hint="eastAsia" w:ascii="仿宋" w:hAnsi="仿宋" w:eastAsia="仿宋"/>
          <w:sz w:val="28"/>
          <w:szCs w:val="28"/>
        </w:rPr>
      </w:pPr>
    </w:p>
    <w:p>
      <w:pPr>
        <w:numPr>
          <w:ilvl w:val="0"/>
          <w:numId w:val="1"/>
        </w:num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rPr>
        <w:t>二、</w:t>
      </w:r>
      <w:r>
        <w:rPr>
          <w:rFonts w:hint="eastAsia" w:ascii="仿宋" w:hAnsi="仿宋" w:eastAsia="仿宋"/>
          <w:sz w:val="28"/>
          <w:szCs w:val="28"/>
          <w:highlight w:val="none"/>
        </w:rPr>
        <w:t>推荐单位需填写推荐评选委员会投票情况、推荐意见（每人500字以内）。</w:t>
      </w:r>
    </w:p>
    <w:p>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三、请用计算机填写，可根据实际需要分栏，但勿随意变动格式及字体字号。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四、请各推荐单位于2023年3月20日之前，将</w:t>
      </w:r>
      <w:r>
        <w:rPr>
          <w:highlight w:val="none"/>
        </w:rPr>
        <w:fldChar w:fldCharType="begin"/>
      </w:r>
      <w:r>
        <w:rPr>
          <w:highlight w:val="none"/>
        </w:rPr>
        <w:instrText xml:space="preserve"> HYPERLINK "mailto:本表电子版发至邮箱qnfxj2016@126.com" </w:instrText>
      </w:r>
      <w:r>
        <w:rPr>
          <w:highlight w:val="none"/>
        </w:rPr>
        <w:fldChar w:fldCharType="separate"/>
      </w:r>
      <w:r>
        <w:rPr>
          <w:rFonts w:hint="eastAsia" w:ascii="仿宋" w:hAnsi="仿宋" w:eastAsia="仿宋"/>
          <w:sz w:val="28"/>
          <w:szCs w:val="28"/>
          <w:highlight w:val="none"/>
        </w:rPr>
        <w:t>本表电子版发至指定邮箱</w:t>
      </w:r>
      <w:r>
        <w:rPr>
          <w:rFonts w:hint="eastAsia" w:ascii="仿宋" w:hAnsi="仿宋" w:eastAsia="仿宋"/>
          <w:sz w:val="28"/>
          <w:szCs w:val="28"/>
          <w:highlight w:val="none"/>
        </w:rPr>
        <w:fldChar w:fldCharType="end"/>
      </w:r>
      <w:r>
        <w:rPr>
          <w:rFonts w:hint="eastAsia" w:ascii="仿宋" w:hAnsi="仿宋" w:eastAsia="仿宋"/>
          <w:sz w:val="28"/>
          <w:szCs w:val="28"/>
          <w:highlight w:val="none"/>
        </w:rPr>
        <w:t>。纸质版以A4纸打印一式四份，连同推荐评选情况报告、推荐候选人身份证复印件、推荐候选人代表性学术专著1-2部（独</w:t>
      </w:r>
      <w:r>
        <w:rPr>
          <w:rFonts w:hint="eastAsia" w:ascii="仿宋" w:hAnsi="仿宋" w:eastAsia="仿宋"/>
          <w:sz w:val="28"/>
          <w:szCs w:val="28"/>
        </w:rPr>
        <w:t>著）、学术论文3-5篇（独著或第一作者）、重要荣誉证书或证明复印件各一式一份，寄至指定地址。</w:t>
      </w:r>
    </w:p>
    <w:p>
      <w:pPr>
        <w:spacing w:line="560" w:lineRule="exact"/>
        <w:ind w:firstLine="560" w:firstLineChars="200"/>
        <w:rPr>
          <w:rFonts w:hint="eastAsia"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hint="eastAsia"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"mailto:qnfxj2022@163.com" </w:instrText>
      </w:r>
      <w:r>
        <w:rPr>
          <w:rFonts w:hint="eastAsia" w:ascii="仿宋" w:hAnsi="仿宋" w:eastAsia="仿宋"/>
          <w:color w:val="000000"/>
          <w:sz w:val="28"/>
          <w:szCs w:val="28"/>
        </w:rPr>
        <w:fldChar w:fldCharType="separate"/>
      </w:r>
      <w:r>
        <w:rPr>
          <w:rStyle w:val="9"/>
          <w:rFonts w:hint="eastAsia" w:ascii="仿宋" w:hAnsi="仿宋" w:eastAsia="仿宋"/>
          <w:sz w:val="28"/>
          <w:szCs w:val="28"/>
        </w:rPr>
        <w:t>qnfxj2022@163.com</w:t>
      </w:r>
      <w:r>
        <w:rPr>
          <w:rFonts w:hint="eastAsia" w:ascii="仿宋" w:hAnsi="仿宋" w:eastAsia="仿宋"/>
          <w:color w:val="000000"/>
          <w:sz w:val="28"/>
          <w:szCs w:val="28"/>
        </w:rPr>
        <w:fldChar w:fldCharType="end"/>
      </w:r>
    </w:p>
    <w:p>
      <w:pPr>
        <w:snapToGrid w:val="0"/>
        <w:spacing w:line="560" w:lineRule="exact"/>
        <w:ind w:firstLine="560" w:firstLineChars="200"/>
        <w:rPr>
          <w:rFonts w:hint="eastAsia" w:ascii="仿宋" w:hAnsi="仿宋" w:eastAsia="仿宋"/>
          <w:color w:val="000000"/>
          <w:sz w:val="28"/>
          <w:szCs w:val="28"/>
        </w:rPr>
      </w:pPr>
    </w:p>
    <w:p>
      <w:pPr>
        <w:rPr>
          <w:rFonts w:hint="eastAsia" w:ascii="宋体" w:hAnsi="宋体"/>
          <w:b/>
          <w:bCs/>
          <w:color w:val="000000"/>
          <w:sz w:val="24"/>
        </w:rPr>
      </w:pPr>
    </w:p>
    <w:tbl>
      <w:tblPr>
        <w:tblStyle w:val="7"/>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hint="eastAsia"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left"/>
              <w:rPr>
                <w:rFonts w:hint="eastAsia" w:ascii="宋体" w:hAnsi="宋体" w:eastAsia="宋体"/>
                <w:b/>
                <w:color w:val="000000"/>
                <w:sz w:val="24"/>
                <w:lang w:val="en-US" w:eastAsia="zh-CN"/>
              </w:rPr>
            </w:pPr>
            <w:r>
              <w:rPr>
                <w:rFonts w:hint="eastAsia" w:ascii="宋体" w:hAnsi="宋体"/>
                <w:b/>
                <w:color w:val="000000"/>
                <w:sz w:val="24"/>
                <w:lang w:val="en-US" w:eastAsia="zh-CN"/>
              </w:rPr>
              <w:t>赵玉</w:t>
            </w:r>
          </w:p>
        </w:tc>
        <w:tc>
          <w:tcPr>
            <w:tcW w:w="1276" w:type="dxa"/>
            <w:tcBorders>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both"/>
              <w:rPr>
                <w:rFonts w:hint="eastAsia" w:ascii="宋体" w:hAnsi="宋体" w:eastAsia="宋体"/>
                <w:b/>
                <w:color w:val="000000"/>
                <w:sz w:val="24"/>
                <w:lang w:val="en-US" w:eastAsia="zh-CN"/>
              </w:rPr>
            </w:pPr>
            <w:r>
              <w:rPr>
                <w:rFonts w:hint="eastAsia" w:ascii="宋体" w:hAnsi="宋体"/>
                <w:b/>
                <w:color w:val="000000"/>
                <w:sz w:val="24"/>
                <w:lang w:val="en-US" w:eastAsia="zh-CN"/>
              </w:rPr>
              <w:t>女</w:t>
            </w:r>
          </w:p>
        </w:tc>
        <w:tc>
          <w:tcPr>
            <w:tcW w:w="1984" w:type="dxa"/>
            <w:vMerge w:val="restart"/>
            <w:tcBorders>
              <w:left w:val="single" w:color="000000" w:sz="4" w:space="0"/>
            </w:tcBorders>
            <w:vAlign w:val="center"/>
          </w:tcPr>
          <w:p>
            <w:pPr>
              <w:snapToGrid w:val="0"/>
              <w:jc w:val="both"/>
              <w:rPr>
                <w:rFonts w:hint="eastAsia" w:ascii="宋体" w:hAnsi="宋体" w:eastAsia="宋体"/>
                <w:b/>
                <w:color w:val="000000"/>
                <w:sz w:val="24"/>
                <w:lang w:eastAsia="zh-CN"/>
              </w:rPr>
            </w:pPr>
            <w:r>
              <w:rPr>
                <w:rFonts w:hint="eastAsia" w:ascii="宋体" w:hAnsi="宋体" w:eastAsia="宋体"/>
                <w:b/>
                <w:color w:val="000000"/>
                <w:sz w:val="24"/>
                <w:lang w:eastAsia="zh-CN"/>
              </w:rPr>
              <w:drawing>
                <wp:inline distT="0" distB="0" distL="114300" distR="114300">
                  <wp:extent cx="1116965" cy="1650365"/>
                  <wp:effectExtent l="0" t="0" r="6985" b="6985"/>
                  <wp:docPr id="2" name="图片 6" descr="G_1020_1331_T_9296_XBL_2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G_1020_1331_T_9296_XBL_28332"/>
                          <pic:cNvPicPr>
                            <a:picLocks noChangeAspect="1"/>
                          </pic:cNvPicPr>
                        </pic:nvPicPr>
                        <pic:blipFill>
                          <a:blip r:embed="rId6"/>
                          <a:stretch>
                            <a:fillRect/>
                          </a:stretch>
                        </pic:blipFill>
                        <pic:spPr>
                          <a:xfrm>
                            <a:off x="0" y="0"/>
                            <a:ext cx="1116965" cy="16503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hint="default" w:ascii="宋体" w:hAnsi="宋体" w:eastAsia="宋体"/>
                <w:b/>
                <w:color w:val="000000"/>
                <w:sz w:val="24"/>
                <w:lang w:val="en-US" w:eastAsia="zh-CN"/>
              </w:rPr>
            </w:pPr>
            <w:r>
              <w:rPr>
                <w:rFonts w:hint="eastAsia" w:ascii="宋体" w:hAnsi="宋体"/>
                <w:b/>
                <w:color w:val="000000"/>
                <w:sz w:val="24"/>
                <w:lang w:val="en-US" w:eastAsia="zh-CN"/>
              </w:rPr>
              <w:t>1977.11.14</w:t>
            </w:r>
          </w:p>
        </w:tc>
        <w:tc>
          <w:tcPr>
            <w:tcW w:w="1276" w:type="dxa"/>
            <w:tcBorders>
              <w:top w:val="single" w:color="000000" w:sz="4" w:space="0"/>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both"/>
              <w:rPr>
                <w:rFonts w:hint="eastAsia" w:ascii="宋体" w:hAnsi="宋体" w:eastAsia="宋体"/>
                <w:b/>
                <w:color w:val="000000"/>
                <w:sz w:val="24"/>
                <w:lang w:val="en-US" w:eastAsia="zh-CN"/>
              </w:rPr>
            </w:pPr>
            <w:r>
              <w:rPr>
                <w:rFonts w:hint="eastAsia" w:ascii="宋体" w:hAnsi="宋体"/>
                <w:b/>
                <w:color w:val="000000"/>
                <w:sz w:val="24"/>
                <w:lang w:val="en-US" w:eastAsia="zh-CN"/>
              </w:rPr>
              <w:t>汉</w:t>
            </w:r>
          </w:p>
        </w:tc>
        <w:tc>
          <w:tcPr>
            <w:tcW w:w="1984"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left"/>
              <w:rPr>
                <w:rFonts w:hint="default" w:ascii="宋体" w:hAnsi="宋体" w:eastAsia="宋体"/>
                <w:b/>
                <w:color w:val="000000"/>
                <w:sz w:val="24"/>
                <w:lang w:val="en-US" w:eastAsia="zh-CN"/>
              </w:rPr>
            </w:pPr>
            <w:r>
              <w:rPr>
                <w:rFonts w:hint="eastAsia" w:ascii="宋体" w:hAnsi="宋体"/>
                <w:b/>
                <w:color w:val="000000"/>
                <w:sz w:val="24"/>
                <w:lang w:val="en-US" w:eastAsia="zh-CN"/>
              </w:rPr>
              <w:t>无党派人士</w:t>
            </w:r>
          </w:p>
        </w:tc>
        <w:tc>
          <w:tcPr>
            <w:tcW w:w="1276" w:type="dxa"/>
            <w:tcBorders>
              <w:top w:val="single" w:color="000000" w:sz="4" w:space="0"/>
              <w:left w:val="single" w:color="000000" w:sz="4" w:space="0"/>
              <w:bottom w:val="single" w:color="auto"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both"/>
              <w:rPr>
                <w:rFonts w:hint="default" w:ascii="宋体" w:hAnsi="宋体" w:eastAsia="宋体"/>
                <w:b/>
                <w:color w:val="000000"/>
                <w:sz w:val="24"/>
                <w:lang w:val="en-US" w:eastAsia="zh-CN"/>
              </w:rPr>
            </w:pPr>
            <w:r>
              <w:rPr>
                <w:rFonts w:hint="eastAsia" w:ascii="宋体" w:hAnsi="宋体"/>
                <w:b/>
                <w:color w:val="000000"/>
                <w:sz w:val="24"/>
                <w:lang w:val="en-US" w:eastAsia="zh-CN"/>
              </w:rPr>
              <w:t>博士</w:t>
            </w:r>
          </w:p>
        </w:tc>
        <w:tc>
          <w:tcPr>
            <w:tcW w:w="1984"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hint="eastAsia" w:ascii="宋体" w:hAnsi="宋体" w:eastAsia="宋体"/>
                <w:b/>
                <w:color w:val="000000"/>
                <w:sz w:val="24"/>
                <w:lang w:val="en-US" w:eastAsia="zh-CN"/>
              </w:rPr>
            </w:pPr>
            <w:r>
              <w:rPr>
                <w:rFonts w:hint="eastAsia" w:ascii="宋体" w:hAnsi="宋体"/>
                <w:b/>
                <w:color w:val="000000"/>
                <w:sz w:val="24"/>
                <w:lang w:val="en-US" w:eastAsia="zh-CN"/>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hint="default" w:ascii="宋体" w:hAnsi="宋体" w:eastAsia="宋体"/>
                <w:b/>
                <w:color w:val="000000"/>
                <w:sz w:val="24"/>
                <w:lang w:val="en-US" w:eastAsia="zh-CN"/>
              </w:rPr>
            </w:pPr>
            <w:r>
              <w:rPr>
                <w:rFonts w:hint="eastAsia" w:ascii="宋体" w:hAnsi="宋体"/>
                <w:b/>
                <w:color w:val="000000"/>
                <w:sz w:val="24"/>
                <w:lang w:val="en-US" w:eastAsia="zh-CN"/>
              </w:rPr>
              <w:t>无</w:t>
            </w:r>
          </w:p>
        </w:tc>
        <w:tc>
          <w:tcPr>
            <w:tcW w:w="1984"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hint="eastAsia" w:ascii="宋体" w:hAnsi="宋体" w:eastAsia="宋体"/>
                <w:b/>
                <w:color w:val="000000"/>
                <w:sz w:val="24"/>
                <w:lang w:val="en-US" w:eastAsia="zh-CN"/>
              </w:rPr>
            </w:pPr>
            <w:r>
              <w:rPr>
                <w:rFonts w:hint="eastAsia" w:ascii="宋体" w:hAnsi="宋体"/>
                <w:b/>
                <w:color w:val="000000"/>
                <w:sz w:val="24"/>
                <w:lang w:val="en-US" w:eastAsia="zh-CN"/>
              </w:rPr>
              <w:t>国家检察官学院</w:t>
            </w:r>
          </w:p>
        </w:tc>
        <w:tc>
          <w:tcPr>
            <w:tcW w:w="1984" w:type="dxa"/>
            <w:vMerge w:val="continue"/>
            <w:tcBorders>
              <w:left w:val="single" w:color="000000" w:sz="4" w:space="0"/>
            </w:tcBorders>
            <w:vAlign w:val="center"/>
          </w:tcPr>
          <w:p>
            <w:pPr>
              <w:snapToGrid w:val="0"/>
              <w:jc w:val="left"/>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hint="default" w:ascii="宋体" w:hAnsi="宋体" w:eastAsia="宋体"/>
                <w:b/>
                <w:color w:val="000000"/>
                <w:sz w:val="24"/>
                <w:lang w:val="en-US" w:eastAsia="zh-CN"/>
              </w:rPr>
            </w:pPr>
            <w:r>
              <w:rPr>
                <w:rFonts w:hint="eastAsia" w:ascii="宋体" w:hAnsi="宋体"/>
                <w:b/>
                <w:color w:val="000000"/>
                <w:sz w:val="24"/>
                <w:lang w:val="en-US" w:eastAsia="zh-CN"/>
              </w:rPr>
              <w:t>北京市昌平区百沙路9号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2" w:hRule="atLeast"/>
        </w:trPr>
        <w:tc>
          <w:tcPr>
            <w:tcW w:w="9000" w:type="dxa"/>
            <w:gridSpan w:val="5"/>
            <w:tcBorders>
              <w:top w:val="single" w:color="auto" w:sz="4" w:space="0"/>
              <w:bottom w:val="single" w:color="000000" w:sz="4" w:space="0"/>
            </w:tcBorders>
            <w:vAlign w:val="top"/>
          </w:tcPr>
          <w:p>
            <w:pPr>
              <w:tabs>
                <w:tab w:val="left" w:pos="4185"/>
              </w:tabs>
              <w:snapToGrid w:val="0"/>
              <w:spacing w:before="156" w:beforeLines="50"/>
              <w:jc w:val="center"/>
              <w:rPr>
                <w:rFonts w:hint="eastAsia"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hint="eastAsia"/>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pStyle w:val="2"/>
              <w:ind w:left="0" w:leftChars="0" w:firstLine="482" w:firstLineChars="200"/>
              <w:rPr>
                <w:rFonts w:hint="eastAsia" w:ascii="黑体" w:hAnsi="黑体" w:eastAsia="黑体" w:cs="黑体"/>
                <w:b/>
                <w:bCs w:val="0"/>
                <w:color w:val="000000"/>
                <w:sz w:val="24"/>
                <w:szCs w:val="24"/>
                <w:lang w:val="en-US" w:eastAsia="zh-CN"/>
              </w:rPr>
            </w:pPr>
            <w:r>
              <w:rPr>
                <w:rFonts w:hint="eastAsia" w:ascii="黑体" w:hAnsi="黑体" w:eastAsia="黑体" w:cs="黑体"/>
                <w:b/>
                <w:bCs w:val="0"/>
                <w:color w:val="000000"/>
                <w:sz w:val="24"/>
                <w:szCs w:val="24"/>
                <w:lang w:val="en-US" w:eastAsia="zh-CN"/>
              </w:rPr>
              <w:t>代表性论文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Chars="0" w:firstLine="482" w:firstLineChars="200"/>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1.《中国社会科学》</w:t>
            </w:r>
            <w:r>
              <w:rPr>
                <w:rFonts w:hint="eastAsia" w:ascii="宋体" w:hAnsi="宋体" w:eastAsia="宋体" w:cs="宋体"/>
                <w:b/>
                <w:bCs w:val="0"/>
                <w:sz w:val="24"/>
                <w:szCs w:val="24"/>
                <w:highlight w:val="none"/>
                <w:lang w:val="en-US" w:eastAsia="zh-CN"/>
              </w:rPr>
              <w:t>2022年第8期，《家庭财产功能主义的法律范式》，独立作者，下载970次。</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Chars="0" w:firstLine="482" w:firstLineChars="200"/>
              <w:textAlignment w:val="auto"/>
              <w:rPr>
                <w:rFonts w:hint="default" w:ascii="宋体" w:hAnsi="宋体" w:cs="宋体"/>
                <w:b w:val="0"/>
                <w:bCs/>
                <w:color w:val="000000"/>
                <w:sz w:val="24"/>
                <w:szCs w:val="24"/>
                <w:lang w:val="en-US" w:eastAsia="zh-CN"/>
              </w:rPr>
            </w:pPr>
            <w:r>
              <w:rPr>
                <w:rFonts w:hint="eastAsia" w:ascii="宋体" w:hAnsi="宋体" w:cs="宋体"/>
                <w:b/>
                <w:bCs w:val="0"/>
                <w:color w:val="000000"/>
                <w:sz w:val="24"/>
                <w:szCs w:val="24"/>
                <w:lang w:val="en-US" w:eastAsia="zh-CN"/>
              </w:rPr>
              <w:t>2.《中国法学》</w:t>
            </w:r>
            <w:r>
              <w:rPr>
                <w:rFonts w:hint="eastAsia" w:ascii="宋体" w:hAnsi="宋体" w:eastAsia="宋体" w:cs="宋体"/>
                <w:b/>
                <w:bCs w:val="0"/>
                <w:sz w:val="24"/>
                <w:szCs w:val="24"/>
                <w:highlight w:val="none"/>
                <w:vertAlign w:val="baseline"/>
                <w:lang w:eastAsia="zh-CN"/>
              </w:rPr>
              <w:t>20</w:t>
            </w:r>
            <w:r>
              <w:rPr>
                <w:rFonts w:hint="eastAsia" w:ascii="宋体" w:hAnsi="宋体" w:cs="宋体"/>
                <w:b/>
                <w:bCs w:val="0"/>
                <w:sz w:val="24"/>
                <w:szCs w:val="24"/>
                <w:highlight w:val="none"/>
                <w:vertAlign w:val="baseline"/>
                <w:lang w:val="en-US" w:eastAsia="zh-CN"/>
              </w:rPr>
              <w:t>20</w:t>
            </w:r>
            <w:r>
              <w:rPr>
                <w:rFonts w:hint="eastAsia" w:ascii="宋体" w:hAnsi="宋体" w:eastAsia="宋体" w:cs="宋体"/>
                <w:b/>
                <w:bCs w:val="0"/>
                <w:sz w:val="24"/>
                <w:szCs w:val="24"/>
                <w:highlight w:val="none"/>
                <w:vertAlign w:val="baseline"/>
                <w:lang w:eastAsia="zh-CN"/>
              </w:rPr>
              <w:t>年第</w:t>
            </w:r>
            <w:r>
              <w:rPr>
                <w:rFonts w:hint="eastAsia" w:ascii="宋体" w:hAnsi="宋体" w:cs="宋体"/>
                <w:b/>
                <w:bCs w:val="0"/>
                <w:sz w:val="24"/>
                <w:szCs w:val="24"/>
                <w:highlight w:val="none"/>
                <w:vertAlign w:val="baseline"/>
                <w:lang w:val="en-US" w:eastAsia="zh-CN"/>
              </w:rPr>
              <w:t>6</w:t>
            </w:r>
            <w:r>
              <w:rPr>
                <w:rFonts w:hint="eastAsia" w:ascii="宋体" w:hAnsi="宋体" w:eastAsia="宋体" w:cs="宋体"/>
                <w:b/>
                <w:bCs w:val="0"/>
                <w:sz w:val="24"/>
                <w:szCs w:val="24"/>
                <w:highlight w:val="none"/>
                <w:vertAlign w:val="baseline"/>
                <w:lang w:eastAsia="zh-CN"/>
              </w:rPr>
              <w:t>期，</w:t>
            </w:r>
            <w:r>
              <w:rPr>
                <w:rFonts w:hint="eastAsia" w:ascii="宋体" w:hAnsi="宋体" w:cs="宋体"/>
                <w:b/>
                <w:bCs w:val="0"/>
                <w:sz w:val="24"/>
                <w:szCs w:val="24"/>
                <w:highlight w:val="none"/>
                <w:vertAlign w:val="baseline"/>
                <w:lang w:val="en-US" w:eastAsia="zh-CN"/>
              </w:rPr>
              <w:t>《民法典背景下合伙企业财产制度构建》，独立作者，被引9次，下载2503次</w:t>
            </w:r>
            <w:r>
              <w:rPr>
                <w:rFonts w:hint="eastAsia" w:ascii="宋体" w:hAnsi="宋体" w:cs="宋体"/>
                <w:b w:val="0"/>
                <w:bCs/>
                <w:sz w:val="24"/>
                <w:szCs w:val="24"/>
                <w:highlight w:val="none"/>
                <w:vertAlign w:val="baseline"/>
                <w:lang w:eastAsia="zh-CN"/>
              </w:rPr>
              <w:t>。</w:t>
            </w:r>
            <w:r>
              <w:rPr>
                <w:rFonts w:hint="eastAsia" w:ascii="宋体" w:hAnsi="宋体" w:eastAsia="宋体" w:cs="宋体"/>
                <w:sz w:val="24"/>
                <w:szCs w:val="24"/>
                <w:vertAlign w:val="baseline"/>
                <w:lang w:eastAsia="zh-CN"/>
              </w:rPr>
              <w:t>人大复印报刊资料《民商法学》20</w:t>
            </w:r>
            <w:r>
              <w:rPr>
                <w:rFonts w:hint="eastAsia" w:ascii="宋体" w:hAnsi="宋体" w:cs="宋体"/>
                <w:sz w:val="24"/>
                <w:szCs w:val="24"/>
                <w:vertAlign w:val="baseline"/>
                <w:lang w:val="en-US" w:eastAsia="zh-CN"/>
              </w:rPr>
              <w:t>21</w:t>
            </w:r>
            <w:r>
              <w:rPr>
                <w:rFonts w:hint="eastAsia" w:ascii="宋体" w:hAnsi="宋体" w:eastAsia="宋体" w:cs="宋体"/>
                <w:sz w:val="24"/>
                <w:szCs w:val="24"/>
                <w:vertAlign w:val="baseline"/>
                <w:lang w:eastAsia="zh-CN"/>
              </w:rPr>
              <w:t>年第</w:t>
            </w:r>
            <w:r>
              <w:rPr>
                <w:rFonts w:hint="eastAsia" w:ascii="宋体" w:hAnsi="宋体" w:cs="宋体"/>
                <w:sz w:val="24"/>
                <w:szCs w:val="24"/>
                <w:vertAlign w:val="baseline"/>
                <w:lang w:val="en-US" w:eastAsia="zh-CN"/>
              </w:rPr>
              <w:t>4</w:t>
            </w:r>
            <w:r>
              <w:rPr>
                <w:rFonts w:hint="eastAsia" w:ascii="宋体" w:hAnsi="宋体" w:eastAsia="宋体" w:cs="宋体"/>
                <w:sz w:val="24"/>
                <w:szCs w:val="24"/>
                <w:vertAlign w:val="baseline"/>
                <w:lang w:eastAsia="zh-CN"/>
              </w:rPr>
              <w:t>期转载</w:t>
            </w:r>
            <w:r>
              <w:rPr>
                <w:rFonts w:hint="eastAsia" w:ascii="宋体" w:hAnsi="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eastAsia="宋体" w:cs="宋体"/>
                <w:sz w:val="24"/>
                <w:szCs w:val="24"/>
                <w:vertAlign w:val="baseline"/>
                <w:lang w:eastAsia="zh-CN"/>
              </w:rPr>
            </w:pPr>
            <w:r>
              <w:rPr>
                <w:rFonts w:hint="eastAsia" w:ascii="宋体" w:hAnsi="宋体" w:cs="宋体"/>
                <w:b/>
                <w:bCs w:val="0"/>
                <w:color w:val="000000"/>
                <w:sz w:val="24"/>
                <w:szCs w:val="24"/>
                <w:lang w:val="en-US" w:eastAsia="zh-CN"/>
              </w:rPr>
              <w:t>3.《中国法学》</w:t>
            </w:r>
            <w:r>
              <w:rPr>
                <w:rFonts w:hint="eastAsia" w:ascii="宋体" w:hAnsi="宋体" w:eastAsia="宋体" w:cs="宋体"/>
                <w:b/>
                <w:bCs w:val="0"/>
                <w:sz w:val="24"/>
                <w:szCs w:val="24"/>
                <w:vertAlign w:val="baseline"/>
                <w:lang w:eastAsia="zh-CN"/>
              </w:rPr>
              <w:t>2016年第1期，《司法视域下夫妻财产制的价值转向》</w:t>
            </w:r>
            <w:r>
              <w:rPr>
                <w:rFonts w:hint="eastAsia" w:ascii="宋体" w:hAnsi="宋体" w:cs="宋体"/>
                <w:b/>
                <w:bCs w:val="0"/>
                <w:sz w:val="24"/>
                <w:szCs w:val="24"/>
                <w:vertAlign w:val="baseline"/>
                <w:lang w:eastAsia="zh-CN"/>
              </w:rPr>
              <w:t>，</w:t>
            </w:r>
            <w:r>
              <w:rPr>
                <w:rFonts w:hint="eastAsia" w:ascii="宋体" w:hAnsi="宋体" w:cs="宋体"/>
                <w:b/>
                <w:bCs w:val="0"/>
                <w:sz w:val="24"/>
                <w:szCs w:val="24"/>
                <w:vertAlign w:val="baseline"/>
                <w:lang w:val="en-US" w:eastAsia="zh-CN"/>
              </w:rPr>
              <w:t>独立作者，</w:t>
            </w:r>
            <w:r>
              <w:rPr>
                <w:rFonts w:hint="eastAsia" w:ascii="宋体" w:hAnsi="宋体" w:cs="宋体"/>
                <w:b/>
                <w:bCs/>
                <w:sz w:val="24"/>
                <w:szCs w:val="24"/>
                <w:vertAlign w:val="baseline"/>
                <w:lang w:val="en-US" w:eastAsia="zh-CN"/>
              </w:rPr>
              <w:t>被引226次，下载6920次。</w:t>
            </w:r>
            <w:r>
              <w:rPr>
                <w:rFonts w:hint="eastAsia" w:ascii="宋体" w:hAnsi="宋体" w:eastAsia="宋体" w:cs="宋体"/>
                <w:sz w:val="24"/>
                <w:szCs w:val="24"/>
                <w:vertAlign w:val="baseline"/>
                <w:lang w:eastAsia="zh-CN"/>
              </w:rPr>
              <w:t>《中国社会科学文摘》2016年第8期转载，人大复印报刊资料《民商法学》2016年第5期转载</w:t>
            </w:r>
            <w:r>
              <w:rPr>
                <w:rFonts w:hint="eastAsia" w:ascii="宋体" w:hAnsi="宋体" w:cs="宋体"/>
                <w:sz w:val="24"/>
                <w:szCs w:val="24"/>
                <w:vertAlign w:val="baseline"/>
                <w:lang w:eastAsia="zh-CN"/>
              </w:rPr>
              <w:t>。</w:t>
            </w:r>
            <w:r>
              <w:rPr>
                <w:rFonts w:hint="eastAsia" w:ascii="宋体" w:hAnsi="宋体" w:eastAsia="宋体" w:cs="宋体"/>
                <w:kern w:val="0"/>
                <w:sz w:val="24"/>
                <w:szCs w:val="24"/>
                <w:lang w:val="en-US" w:eastAsia="zh-CN"/>
              </w:rPr>
              <w:t>在“夫妻财产”领域为45岁以下女性法学学者</w:t>
            </w:r>
            <w:r>
              <w:rPr>
                <w:rFonts w:hint="eastAsia" w:ascii="宋体" w:hAnsi="宋体" w:eastAsia="宋体" w:cs="宋体"/>
                <w:b/>
                <w:bCs/>
                <w:kern w:val="0"/>
                <w:sz w:val="24"/>
                <w:szCs w:val="24"/>
                <w:lang w:val="en-US" w:eastAsia="zh-CN"/>
              </w:rPr>
              <w:t>引用率排名第一</w:t>
            </w:r>
            <w:r>
              <w:rPr>
                <w:rFonts w:hint="eastAsia" w:ascii="宋体" w:hAnsi="宋体" w:eastAsia="宋体" w:cs="宋体"/>
                <w:kern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4.</w:t>
            </w:r>
            <w:r>
              <w:rPr>
                <w:rFonts w:hint="eastAsia" w:ascii="宋体" w:hAnsi="宋体" w:eastAsia="宋体" w:cs="宋体"/>
                <w:sz w:val="24"/>
                <w:szCs w:val="24"/>
                <w:vertAlign w:val="baseline"/>
                <w:lang w:val="en-US" w:eastAsia="zh-CN"/>
              </w:rPr>
              <w:t>《环球法律评论》2022年第3期，《夫妻股权归属及其单方处分效力的认定》，独立作者</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highlight w:val="none"/>
                <w:vertAlign w:val="baseline"/>
                <w:lang w:val="en-US" w:eastAsia="zh-CN"/>
              </w:rPr>
              <w:t>被引1次，</w:t>
            </w:r>
            <w:r>
              <w:rPr>
                <w:rFonts w:hint="eastAsia" w:ascii="宋体" w:hAnsi="宋体" w:eastAsia="宋体" w:cs="宋体"/>
                <w:b w:val="0"/>
                <w:bCs w:val="0"/>
                <w:sz w:val="24"/>
                <w:szCs w:val="24"/>
                <w:vertAlign w:val="baseline"/>
                <w:lang w:val="en-US" w:eastAsia="zh-CN"/>
              </w:rPr>
              <w:t>下</w:t>
            </w:r>
            <w:r>
              <w:rPr>
                <w:rFonts w:hint="eastAsia" w:ascii="宋体" w:hAnsi="宋体" w:eastAsia="宋体" w:cs="宋体"/>
                <w:sz w:val="24"/>
                <w:szCs w:val="24"/>
                <w:vertAlign w:val="baseline"/>
                <w:lang w:val="en-US" w:eastAsia="zh-CN"/>
              </w:rPr>
              <w:t>载</w:t>
            </w:r>
            <w:r>
              <w:rPr>
                <w:rFonts w:hint="eastAsia" w:ascii="宋体" w:hAnsi="宋体" w:cs="宋体"/>
                <w:sz w:val="24"/>
                <w:szCs w:val="24"/>
                <w:vertAlign w:val="baseline"/>
                <w:lang w:val="en-US" w:eastAsia="zh-CN"/>
              </w:rPr>
              <w:t>862</w:t>
            </w:r>
            <w:r>
              <w:rPr>
                <w:rFonts w:hint="eastAsia" w:ascii="宋体" w:hAnsi="宋体" w:eastAsia="宋体" w:cs="宋体"/>
                <w:sz w:val="24"/>
                <w:szCs w:val="24"/>
                <w:vertAlign w:val="baseline"/>
                <w:lang w:val="en-US" w:eastAsia="zh-CN"/>
              </w:rPr>
              <w:t>次。人大复印报刊资料《民商法学》2022年第8期转载。</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．《社会科学战线》2018年第10期，《婚姻家庭法中的利他主义》，</w:t>
            </w:r>
            <w:r>
              <w:rPr>
                <w:rFonts w:hint="eastAsia" w:ascii="宋体" w:hAnsi="宋体" w:eastAsia="宋体" w:cs="宋体"/>
                <w:sz w:val="24"/>
                <w:szCs w:val="24"/>
                <w:vertAlign w:val="baseline"/>
                <w:lang w:val="en-US" w:eastAsia="zh-CN"/>
              </w:rPr>
              <w:t>独立作者，被引29次，下载</w:t>
            </w:r>
            <w:r>
              <w:rPr>
                <w:rFonts w:hint="eastAsia" w:ascii="宋体" w:hAnsi="宋体" w:cs="宋体"/>
                <w:sz w:val="24"/>
                <w:szCs w:val="24"/>
                <w:vertAlign w:val="baseline"/>
                <w:lang w:val="en-US" w:eastAsia="zh-CN"/>
              </w:rPr>
              <w:t>1106</w:t>
            </w:r>
            <w:r>
              <w:rPr>
                <w:rFonts w:hint="eastAsia" w:ascii="宋体" w:hAnsi="宋体" w:eastAsia="宋体" w:cs="宋体"/>
                <w:sz w:val="24"/>
                <w:szCs w:val="24"/>
                <w:vertAlign w:val="baseline"/>
                <w:lang w:val="en-US" w:eastAsia="zh-CN"/>
              </w:rPr>
              <w:t>次。</w:t>
            </w:r>
            <w:r>
              <w:rPr>
                <w:rFonts w:hint="eastAsia" w:ascii="宋体" w:hAnsi="宋体" w:eastAsia="宋体" w:cs="宋体"/>
                <w:sz w:val="24"/>
                <w:szCs w:val="24"/>
                <w:vertAlign w:val="baseline"/>
                <w:lang w:eastAsia="zh-CN"/>
              </w:rPr>
              <w:t>《中国社会科学文摘》</w:t>
            </w:r>
            <w:r>
              <w:rPr>
                <w:rFonts w:hint="eastAsia" w:ascii="宋体" w:hAnsi="宋体" w:eastAsia="宋体" w:cs="宋体"/>
                <w:sz w:val="24"/>
                <w:szCs w:val="24"/>
                <w:vertAlign w:val="baseline"/>
                <w:lang w:val="en-US" w:eastAsia="zh-CN"/>
              </w:rPr>
              <w:t>2019年第2期</w:t>
            </w:r>
            <w:r>
              <w:rPr>
                <w:rFonts w:hint="eastAsia" w:ascii="宋体" w:hAnsi="宋体" w:eastAsia="宋体" w:cs="宋体"/>
                <w:sz w:val="24"/>
                <w:szCs w:val="24"/>
                <w:vertAlign w:val="baseline"/>
                <w:lang w:eastAsia="zh-CN"/>
              </w:rPr>
              <w:t>转载。</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《法律科学》2013年第4期，《私募股权投资基金管理人准入机制研究》，</w:t>
            </w:r>
            <w:r>
              <w:rPr>
                <w:rFonts w:hint="eastAsia" w:ascii="宋体" w:hAnsi="宋体" w:eastAsia="宋体" w:cs="宋体"/>
                <w:sz w:val="24"/>
                <w:szCs w:val="24"/>
                <w:vertAlign w:val="baseline"/>
                <w:lang w:val="en-US" w:eastAsia="zh-CN"/>
              </w:rPr>
              <w:t>独立作者，被引85次，下载25</w:t>
            </w:r>
            <w:r>
              <w:rPr>
                <w:rFonts w:hint="eastAsia" w:ascii="宋体" w:hAnsi="宋体" w:cs="宋体"/>
                <w:sz w:val="24"/>
                <w:szCs w:val="24"/>
                <w:vertAlign w:val="baseline"/>
                <w:lang w:val="en-US" w:eastAsia="zh-CN"/>
              </w:rPr>
              <w:t>70</w:t>
            </w:r>
            <w:r>
              <w:rPr>
                <w:rFonts w:hint="eastAsia" w:ascii="宋体" w:hAnsi="宋体" w:eastAsia="宋体" w:cs="宋体"/>
                <w:sz w:val="24"/>
                <w:szCs w:val="24"/>
                <w:vertAlign w:val="baseline"/>
                <w:lang w:val="en-US" w:eastAsia="zh-CN"/>
              </w:rPr>
              <w:t>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lang w:eastAsia="zh-CN"/>
              </w:rPr>
              <w:t>．《当代法学》2012年第6期，《民法中“民”的诠释》，</w:t>
            </w:r>
            <w:r>
              <w:rPr>
                <w:rFonts w:hint="eastAsia" w:ascii="宋体" w:hAnsi="宋体" w:eastAsia="宋体" w:cs="宋体"/>
                <w:sz w:val="24"/>
                <w:szCs w:val="24"/>
                <w:vertAlign w:val="baseline"/>
                <w:lang w:val="en-US" w:eastAsia="zh-CN"/>
              </w:rPr>
              <w:t>第一作者，被引12次，下载5</w:t>
            </w:r>
            <w:r>
              <w:rPr>
                <w:rFonts w:hint="eastAsia" w:ascii="宋体" w:hAnsi="宋体" w:cs="宋体"/>
                <w:sz w:val="24"/>
                <w:szCs w:val="24"/>
                <w:vertAlign w:val="baseline"/>
                <w:lang w:val="en-US" w:eastAsia="zh-CN"/>
              </w:rPr>
              <w:t>42</w:t>
            </w:r>
            <w:r>
              <w:rPr>
                <w:rFonts w:hint="eastAsia" w:ascii="宋体" w:hAnsi="宋体" w:eastAsia="宋体" w:cs="宋体"/>
                <w:sz w:val="24"/>
                <w:szCs w:val="24"/>
                <w:vertAlign w:val="baseline"/>
                <w:lang w:val="en-US" w:eastAsia="zh-CN"/>
              </w:rPr>
              <w:t>次</w:t>
            </w:r>
            <w:r>
              <w:rPr>
                <w:rFonts w:hint="eastAsia" w:ascii="宋体" w:hAnsi="宋体" w:eastAsia="宋体" w:cs="宋体"/>
                <w:sz w:val="24"/>
                <w:szCs w:val="24"/>
                <w:vertAlign w:val="baseline"/>
                <w:lang w:eastAsia="zh-CN"/>
              </w:rPr>
              <w:t>。《中国社会科学文摘》2013年第4期转载，《高等学校文科学术文摘》2013年第1期转载。</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8.《中国检察官》2018年第10期，《离婚财产纠纷案件审查重点与方法》，独立作者，被引4次，下载30</w:t>
            </w:r>
            <w:r>
              <w:rPr>
                <w:rFonts w:hint="eastAsia" w:ascii="宋体" w:hAnsi="宋体" w:cs="宋体"/>
                <w:sz w:val="24"/>
                <w:szCs w:val="24"/>
                <w:vertAlign w:val="baseline"/>
                <w:lang w:val="en-US" w:eastAsia="zh-CN"/>
              </w:rPr>
              <w:t>6</w:t>
            </w:r>
            <w:r>
              <w:rPr>
                <w:rFonts w:hint="eastAsia" w:ascii="宋体" w:hAnsi="宋体" w:eastAsia="宋体" w:cs="宋体"/>
                <w:sz w:val="24"/>
                <w:szCs w:val="24"/>
                <w:vertAlign w:val="baseline"/>
                <w:lang w:val="en-US" w:eastAsia="zh-CN"/>
              </w:rPr>
              <w:t>次。</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9.</w:t>
            </w:r>
            <w:r>
              <w:rPr>
                <w:rFonts w:hint="eastAsia" w:ascii="宋体" w:hAnsi="宋体" w:eastAsia="宋体" w:cs="宋体"/>
                <w:sz w:val="24"/>
                <w:szCs w:val="24"/>
                <w:vertAlign w:val="baseline"/>
                <w:lang w:eastAsia="zh-CN"/>
              </w:rPr>
              <w:t>《中国检察官》2017年第1期，《“法律行为”和“民事法律行为”概念的抉择》，</w:t>
            </w:r>
            <w:r>
              <w:rPr>
                <w:rFonts w:hint="eastAsia" w:ascii="宋体" w:hAnsi="宋体" w:eastAsia="宋体" w:cs="宋体"/>
                <w:sz w:val="24"/>
                <w:szCs w:val="24"/>
                <w:vertAlign w:val="baseline"/>
                <w:lang w:val="en-US" w:eastAsia="zh-CN"/>
              </w:rPr>
              <w:t>独立作者，被引3次，下载5</w:t>
            </w:r>
            <w:r>
              <w:rPr>
                <w:rFonts w:hint="eastAsia" w:ascii="宋体" w:hAnsi="宋体" w:cs="宋体"/>
                <w:sz w:val="24"/>
                <w:szCs w:val="24"/>
                <w:vertAlign w:val="baseline"/>
                <w:lang w:val="en-US" w:eastAsia="zh-CN"/>
              </w:rPr>
              <w:t>43</w:t>
            </w:r>
            <w:r>
              <w:rPr>
                <w:rFonts w:hint="eastAsia" w:ascii="宋体" w:hAnsi="宋体" w:eastAsia="宋体" w:cs="宋体"/>
                <w:sz w:val="24"/>
                <w:szCs w:val="24"/>
                <w:vertAlign w:val="baseline"/>
                <w:lang w:val="en-US" w:eastAsia="zh-CN"/>
              </w:rPr>
              <w:t>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eastAsia="zh-CN"/>
              </w:rPr>
              <w:t>《社会科学研究》2012年第6期，《商事组织立法体系的生长：以私募股权投资基金为中心的观察》，</w:t>
            </w:r>
            <w:r>
              <w:rPr>
                <w:rFonts w:hint="eastAsia" w:ascii="宋体" w:hAnsi="宋体" w:eastAsia="宋体" w:cs="宋体"/>
                <w:sz w:val="24"/>
                <w:szCs w:val="24"/>
                <w:vertAlign w:val="baseline"/>
                <w:lang w:val="en-US" w:eastAsia="zh-CN"/>
              </w:rPr>
              <w:t>独立作者，被引13次，下载4</w:t>
            </w:r>
            <w:r>
              <w:rPr>
                <w:rFonts w:hint="eastAsia" w:ascii="宋体" w:hAnsi="宋体" w:cs="宋体"/>
                <w:sz w:val="24"/>
                <w:szCs w:val="24"/>
                <w:vertAlign w:val="baseline"/>
                <w:lang w:val="en-US" w:eastAsia="zh-CN"/>
              </w:rPr>
              <w:t>64</w:t>
            </w:r>
            <w:r>
              <w:rPr>
                <w:rFonts w:hint="eastAsia" w:ascii="宋体" w:hAnsi="宋体" w:eastAsia="宋体" w:cs="宋体"/>
                <w:sz w:val="24"/>
                <w:szCs w:val="24"/>
                <w:vertAlign w:val="baseline"/>
                <w:lang w:val="en-US" w:eastAsia="zh-CN"/>
              </w:rPr>
              <w:t>次</w:t>
            </w:r>
            <w:r>
              <w:rPr>
                <w:rFonts w:hint="eastAsia" w:ascii="宋体" w:hAnsi="宋体" w:eastAsia="宋体" w:cs="宋体"/>
                <w:sz w:val="24"/>
                <w:szCs w:val="24"/>
                <w:vertAlign w:val="baseline"/>
                <w:lang w:eastAsia="zh-CN"/>
              </w:rPr>
              <w:t>。人大复印报刊资料《民商法学》2013年第1期转载。</w:t>
            </w:r>
          </w:p>
          <w:p>
            <w:pPr>
              <w:rPr>
                <w:rFonts w:hint="default"/>
                <w:lang w:val="en-US" w:eastAsia="zh-CN"/>
              </w:rPr>
            </w:pPr>
          </w:p>
          <w:p>
            <w:pPr>
              <w:tabs>
                <w:tab w:val="left" w:pos="4185"/>
              </w:tabs>
              <w:snapToGrid w:val="0"/>
              <w:jc w:val="center"/>
              <w:rPr>
                <w:rFonts w:hint="eastAsia"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2" w:hRule="atLeast"/>
        </w:trPr>
        <w:tc>
          <w:tcPr>
            <w:tcW w:w="9000" w:type="dxa"/>
            <w:gridSpan w:val="5"/>
            <w:tcBorders>
              <w:top w:val="single" w:color="auto" w:sz="4" w:space="0"/>
              <w:bottom w:val="single" w:color="000000" w:sz="4" w:space="0"/>
            </w:tcBorders>
            <w:vAlign w:val="top"/>
          </w:tcPr>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eastAsia="zh-CN"/>
              </w:rPr>
            </w:pPr>
            <w:bookmarkStart w:id="0" w:name="OLE_LINK2"/>
            <w:r>
              <w:rPr>
                <w:rFonts w:hint="eastAsia" w:ascii="宋体" w:hAnsi="宋体" w:eastAsia="宋体" w:cs="宋体"/>
                <w:sz w:val="24"/>
                <w:szCs w:val="24"/>
                <w:vertAlign w:val="baseline"/>
                <w:lang w:val="en-US" w:eastAsia="zh-CN"/>
              </w:rPr>
              <w:t>11.</w:t>
            </w:r>
            <w:r>
              <w:rPr>
                <w:rFonts w:hint="eastAsia" w:ascii="宋体" w:hAnsi="宋体" w:eastAsia="宋体" w:cs="宋体"/>
                <w:sz w:val="24"/>
                <w:szCs w:val="24"/>
                <w:vertAlign w:val="baseline"/>
                <w:lang w:eastAsia="zh-CN"/>
              </w:rPr>
              <w:t>《社会科学》2012年第10期，《论私募股权投资基金的政府差异性监管路径》，</w:t>
            </w:r>
            <w:r>
              <w:rPr>
                <w:rFonts w:hint="eastAsia" w:ascii="宋体" w:hAnsi="宋体" w:eastAsia="宋体" w:cs="宋体"/>
                <w:sz w:val="24"/>
                <w:szCs w:val="24"/>
                <w:vertAlign w:val="baseline"/>
                <w:lang w:val="en-US" w:eastAsia="zh-CN"/>
              </w:rPr>
              <w:t>独立作者，被引26次，下载693次。</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r>
              <w:rPr>
                <w:rFonts w:hint="eastAsia" w:ascii="宋体" w:hAnsi="宋体" w:eastAsia="宋体" w:cs="宋体"/>
                <w:sz w:val="24"/>
                <w:szCs w:val="24"/>
                <w:vertAlign w:val="baseline"/>
                <w:lang w:eastAsia="zh-CN"/>
              </w:rPr>
              <w:t>．《社会科学战线》2012年第6期，《私募基金管理人的监管理念与路径》，</w:t>
            </w:r>
            <w:r>
              <w:rPr>
                <w:rFonts w:hint="eastAsia" w:ascii="宋体" w:hAnsi="宋体" w:eastAsia="宋体" w:cs="宋体"/>
                <w:sz w:val="24"/>
                <w:szCs w:val="24"/>
                <w:vertAlign w:val="baseline"/>
                <w:lang w:val="en-US" w:eastAsia="zh-CN"/>
              </w:rPr>
              <w:t>独立作者，被引9次，下载431次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sz w:val="24"/>
                <w:szCs w:val="24"/>
                <w:vertAlign w:val="baseline"/>
                <w:lang w:val="en-US" w:eastAsia="zh-CN"/>
              </w:rPr>
              <w:t>13</w:t>
            </w:r>
            <w:r>
              <w:rPr>
                <w:rFonts w:hint="eastAsia" w:ascii="宋体" w:hAnsi="宋体" w:eastAsia="宋体" w:cs="宋体"/>
                <w:sz w:val="24"/>
                <w:szCs w:val="24"/>
                <w:vertAlign w:val="baseline"/>
                <w:lang w:eastAsia="zh-CN"/>
              </w:rPr>
              <w:t>．《上海财经大学学报》2012年第4期，《私募股权投资基金合格投资者规则》，</w:t>
            </w:r>
            <w:r>
              <w:rPr>
                <w:rFonts w:hint="eastAsia" w:ascii="宋体" w:hAnsi="宋体" w:eastAsia="宋体" w:cs="宋体"/>
                <w:sz w:val="24"/>
                <w:szCs w:val="24"/>
                <w:vertAlign w:val="baseline"/>
                <w:lang w:val="en-US" w:eastAsia="zh-CN"/>
              </w:rPr>
              <w:t>独立作者，被引62次，下载1493次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14</w:t>
            </w:r>
            <w:r>
              <w:rPr>
                <w:rFonts w:hint="eastAsia" w:ascii="宋体" w:hAnsi="宋体" w:eastAsia="宋体" w:cs="宋体"/>
                <w:sz w:val="24"/>
                <w:szCs w:val="24"/>
                <w:vertAlign w:val="baseline"/>
                <w:lang w:eastAsia="zh-CN"/>
              </w:rPr>
              <w:t>．《广东社会科学》2012年第5期，《经济发展方式转变与经济法的互动》，</w:t>
            </w:r>
            <w:r>
              <w:rPr>
                <w:rFonts w:hint="eastAsia" w:ascii="宋体" w:hAnsi="宋体" w:eastAsia="宋体" w:cs="宋体"/>
                <w:sz w:val="24"/>
                <w:szCs w:val="24"/>
                <w:vertAlign w:val="baseline"/>
                <w:lang w:val="en-US" w:eastAsia="zh-CN"/>
              </w:rPr>
              <w:t>独立作者，被引9次，下载262次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15</w:t>
            </w:r>
            <w:r>
              <w:rPr>
                <w:rFonts w:hint="eastAsia" w:ascii="宋体" w:hAnsi="宋体" w:eastAsia="宋体" w:cs="宋体"/>
                <w:sz w:val="24"/>
                <w:szCs w:val="24"/>
                <w:vertAlign w:val="baseline"/>
                <w:lang w:eastAsia="zh-CN"/>
              </w:rPr>
              <w:t>．《天府新论》2012年第6期，《产业政策法基础理论问题探析》，</w:t>
            </w:r>
            <w:r>
              <w:rPr>
                <w:rFonts w:hint="eastAsia" w:ascii="宋体" w:hAnsi="宋体" w:eastAsia="宋体" w:cs="宋体"/>
                <w:sz w:val="24"/>
                <w:szCs w:val="24"/>
                <w:vertAlign w:val="baseline"/>
                <w:lang w:val="en-US" w:eastAsia="zh-CN"/>
              </w:rPr>
              <w:t>第一作者，被引9次，下载518次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16</w:t>
            </w:r>
            <w:r>
              <w:rPr>
                <w:rFonts w:hint="eastAsia" w:ascii="宋体" w:hAnsi="宋体" w:eastAsia="宋体" w:cs="宋体"/>
                <w:sz w:val="24"/>
                <w:szCs w:val="24"/>
                <w:vertAlign w:val="baseline"/>
                <w:lang w:eastAsia="zh-CN"/>
              </w:rPr>
              <w:t>．《社会科学家》2013年第3期，《预算法修订的理念和规则探讨》</w:t>
            </w:r>
            <w:r>
              <w:rPr>
                <w:rFonts w:hint="eastAsia" w:ascii="宋体" w:hAnsi="宋体" w:eastAsia="宋体" w:cs="宋体"/>
                <w:sz w:val="24"/>
                <w:szCs w:val="24"/>
                <w:vertAlign w:val="baseline"/>
                <w:lang w:val="en-US" w:eastAsia="zh-CN"/>
              </w:rPr>
              <w:t>第一作者</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被引4次，下载303次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w:t>
            </w: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lang w:eastAsia="zh-CN"/>
              </w:rPr>
              <w:t>．《中国社会科学院研究生学报》2013年第4期，《论经济法的世界观》，</w:t>
            </w:r>
            <w:r>
              <w:rPr>
                <w:rFonts w:hint="eastAsia" w:ascii="宋体" w:hAnsi="宋体" w:eastAsia="宋体" w:cs="宋体"/>
                <w:sz w:val="24"/>
                <w:szCs w:val="24"/>
                <w:vertAlign w:val="baseline"/>
                <w:lang w:val="en-US" w:eastAsia="zh-CN"/>
              </w:rPr>
              <w:t>第一作者，被引1次，下载178次</w:t>
            </w:r>
            <w:r>
              <w:rPr>
                <w:rFonts w:hint="eastAsia" w:ascii="宋体" w:hAnsi="宋体" w:eastAsia="宋体" w:cs="宋体"/>
                <w:sz w:val="24"/>
                <w:szCs w:val="24"/>
                <w:vertAlign w:val="baseline"/>
                <w:lang w:eastAsia="zh-CN"/>
              </w:rPr>
              <w:t>。</w:t>
            </w:r>
          </w:p>
          <w:p>
            <w:pPr>
              <w:pStyle w:val="2"/>
              <w:keepNext w:val="0"/>
              <w:keepLines w:val="0"/>
              <w:pageBreakBefore w:val="0"/>
              <w:widowControl w:val="0"/>
              <w:kinsoku/>
              <w:wordWrap/>
              <w:overflowPunct/>
              <w:topLinePunct w:val="0"/>
              <w:autoSpaceDE/>
              <w:autoSpaceDN/>
              <w:bidi w:val="0"/>
              <w:adjustRightInd/>
              <w:snapToGrid/>
              <w:spacing w:after="157" w:afterLines="50" w:line="340" w:lineRule="exact"/>
              <w:ind w:left="0" w:leftChars="0" w:firstLine="480" w:firstLineChars="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18.《法学杂志》2010年第12期，《有限合伙型股权投资基金的本土化法律思考》，独立作者，被引46次，下载885次。</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19.《社会科学研究》2010年第6期，《论我国有限合伙型股权投资基金的制度结构与完善路径》，独立作者，被引34次，下载</w:t>
            </w:r>
            <w:r>
              <w:rPr>
                <w:rFonts w:hint="eastAsia" w:ascii="宋体" w:hAnsi="宋体" w:eastAsia="宋体" w:cs="宋体"/>
                <w:sz w:val="24"/>
                <w:szCs w:val="24"/>
                <w:vertAlign w:val="baseline"/>
                <w:lang w:val="en-US" w:eastAsia="zh-CN"/>
              </w:rPr>
              <w:t>914次。</w:t>
            </w:r>
          </w:p>
          <w:p>
            <w:pPr>
              <w:keepNext w:val="0"/>
              <w:keepLines w:val="0"/>
              <w:pageBreakBefore w:val="0"/>
              <w:widowControl w:val="0"/>
              <w:kinsoku/>
              <w:wordWrap/>
              <w:overflowPunct/>
              <w:topLinePunct w:val="0"/>
              <w:autoSpaceDE/>
              <w:autoSpaceDN/>
              <w:bidi w:val="0"/>
              <w:adjustRightInd/>
              <w:snapToGrid/>
              <w:spacing w:before="313" w:beforeLines="100" w:after="157" w:afterLines="50" w:line="3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vertAlign w:val="baseline"/>
                <w:lang w:val="en-US" w:eastAsia="zh-CN"/>
              </w:rPr>
              <w:t>20.</w:t>
            </w:r>
            <w:r>
              <w:rPr>
                <w:rFonts w:hint="eastAsia" w:ascii="宋体" w:hAnsi="宋体" w:eastAsia="宋体" w:cs="宋体"/>
                <w:sz w:val="24"/>
                <w:szCs w:val="24"/>
                <w:vertAlign w:val="baseline"/>
                <w:lang w:eastAsia="zh-CN"/>
              </w:rPr>
              <w:t>《当代法学》</w:t>
            </w:r>
            <w:r>
              <w:rPr>
                <w:rFonts w:hint="eastAsia" w:ascii="宋体" w:hAnsi="宋体" w:eastAsia="宋体" w:cs="宋体"/>
                <w:sz w:val="24"/>
                <w:szCs w:val="24"/>
                <w:lang w:eastAsia="zh-CN"/>
              </w:rPr>
              <w:t>1999年第5期，《善意取得制度三论》，</w:t>
            </w:r>
            <w:r>
              <w:rPr>
                <w:rFonts w:hint="eastAsia" w:ascii="宋体" w:hAnsi="宋体" w:eastAsia="宋体" w:cs="宋体"/>
                <w:sz w:val="24"/>
                <w:szCs w:val="24"/>
                <w:lang w:val="en-US" w:eastAsia="zh-CN"/>
              </w:rPr>
              <w:t>独立作者，被引8次，下载266次</w:t>
            </w:r>
            <w:r>
              <w:rPr>
                <w:rFonts w:hint="eastAsia" w:ascii="宋体" w:hAnsi="宋体" w:eastAsia="宋体" w:cs="宋体"/>
                <w:sz w:val="24"/>
                <w:szCs w:val="24"/>
                <w:lang w:eastAsia="zh-CN"/>
              </w:rPr>
              <w:t>。</w:t>
            </w:r>
          </w:p>
          <w:bookmarkEnd w:id="0"/>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340" w:lineRule="exact"/>
              <w:ind w:leftChars="0" w:firstLine="482" w:firstLineChars="200"/>
              <w:textAlignment w:val="auto"/>
              <w:rPr>
                <w:rFonts w:hint="eastAsia" w:ascii="黑体" w:hAnsi="黑体" w:eastAsia="黑体" w:cs="黑体"/>
                <w:b/>
                <w:bCs w:val="0"/>
                <w:color w:val="000000"/>
                <w:sz w:val="24"/>
                <w:szCs w:val="24"/>
                <w:lang w:val="en-US" w:eastAsia="zh-CN"/>
              </w:rPr>
            </w:pPr>
            <w:r>
              <w:rPr>
                <w:rFonts w:hint="eastAsia" w:ascii="黑体" w:hAnsi="黑体" w:eastAsia="黑体" w:cs="黑体"/>
                <w:b/>
                <w:bCs w:val="0"/>
                <w:color w:val="000000"/>
                <w:sz w:val="24"/>
                <w:szCs w:val="24"/>
                <w:lang w:val="en-US" w:eastAsia="zh-CN"/>
              </w:rPr>
              <w:t>主要著作：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340" w:lineRule="exact"/>
              <w:ind w:firstLine="482" w:firstLineChars="200"/>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1．《我国私募股权投资基金法律制度研究》</w:t>
            </w:r>
            <w:r>
              <w:rPr>
                <w:rFonts w:hint="eastAsia" w:ascii="宋体" w:hAnsi="宋体" w:eastAsia="宋体" w:cs="宋体"/>
                <w:sz w:val="24"/>
                <w:szCs w:val="24"/>
                <w:vertAlign w:val="baseline"/>
                <w:lang w:val="en-US" w:eastAsia="zh-CN"/>
              </w:rPr>
              <w:t>，独著，中国政法出版社2013年8月版</w:t>
            </w:r>
            <w:r>
              <w:rPr>
                <w:rFonts w:hint="eastAsia" w:ascii="宋体" w:hAnsi="宋体" w:cs="宋体"/>
                <w:sz w:val="24"/>
                <w:szCs w:val="24"/>
                <w:vertAlign w:val="baseline"/>
                <w:lang w:val="en-US" w:eastAsia="zh-CN"/>
              </w:rPr>
              <w:t>，被引102次，下载6565次。为“私募股权投资基金”法学类专著中</w:t>
            </w:r>
            <w:r>
              <w:rPr>
                <w:rFonts w:hint="eastAsia" w:ascii="宋体" w:hAnsi="宋体" w:cs="宋体"/>
                <w:b/>
                <w:bCs/>
                <w:sz w:val="24"/>
                <w:szCs w:val="24"/>
                <w:vertAlign w:val="baseline"/>
                <w:lang w:val="en-US" w:eastAsia="zh-CN"/>
              </w:rPr>
              <w:t>被引频率排名第一，下载频率排名第一。</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2．《侵权责任法律师基础实务》，合著，中国人民大学出版社2014年1版。</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3．《继承法修订入典之重点问题》，合著，中国法制出版社2015年8月版。</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4．《&lt;最高人民法院关于审理民间借贷案件适用法律若干问题的规定&gt;理解与运用》，合著，中国法制出版社2015年9月版。</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5.《&lt;最高人民法院关于医疗损害责任纠纷案件司法解释&gt;理解运用与案件解读》合著，中国法制出版社2018年1月版。</w:t>
            </w:r>
          </w:p>
          <w:p>
            <w:pPr>
              <w:pStyle w:val="2"/>
              <w:keepNext w:val="0"/>
              <w:keepLines w:val="0"/>
              <w:pageBreakBefore w:val="0"/>
              <w:widowControl w:val="0"/>
              <w:kinsoku/>
              <w:wordWrap/>
              <w:overflowPunct/>
              <w:topLinePunct w:val="0"/>
              <w:autoSpaceDE/>
              <w:autoSpaceDN/>
              <w:bidi w:val="0"/>
              <w:adjustRightInd/>
              <w:snapToGrid/>
              <w:spacing w:after="157" w:afterLines="50" w:line="340" w:lineRule="exact"/>
              <w:ind w:left="0" w:leftChars="0" w:firstLine="480" w:firstLineChars="2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6.《民事检察实务培训讲义》，合著，法律出版社2020年版。</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7.《刑事检察实务培训讲义》，合著，法律出版社2020年版。</w:t>
            </w:r>
          </w:p>
          <w:p>
            <w:pPr>
              <w:keepNext w:val="0"/>
              <w:keepLines w:val="0"/>
              <w:pageBreakBefore w:val="0"/>
              <w:widowControl w:val="0"/>
              <w:kinsoku/>
              <w:wordWrap/>
              <w:overflowPunct/>
              <w:topLinePunct w:val="0"/>
              <w:autoSpaceDE/>
              <w:autoSpaceDN/>
              <w:bidi w:val="0"/>
              <w:adjustRightInd/>
              <w:snapToGrid/>
              <w:spacing w:after="157" w:afterLines="50" w:line="340" w:lineRule="exact"/>
              <w:ind w:firstLine="480" w:firstLineChars="200"/>
              <w:textAlignment w:val="auto"/>
              <w:rPr>
                <w:rFonts w:hint="eastAsia" w:ascii="宋体" w:hAnsi="宋体" w:eastAsia="宋体" w:cs="宋体"/>
                <w:sz w:val="24"/>
                <w:szCs w:val="24"/>
                <w:lang w:val="en-US" w:eastAsia="zh-CN"/>
              </w:rPr>
            </w:pPr>
          </w:p>
          <w:p>
            <w:pPr>
              <w:tabs>
                <w:tab w:val="left" w:pos="4185"/>
              </w:tabs>
              <w:snapToGrid w:val="0"/>
              <w:jc w:val="center"/>
              <w:rPr>
                <w:rFonts w:hint="eastAsia"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9" w:hRule="atLeast"/>
        </w:trPr>
        <w:tc>
          <w:tcPr>
            <w:tcW w:w="9000" w:type="dxa"/>
            <w:gridSpan w:val="5"/>
            <w:tcBorders>
              <w:top w:val="single" w:color="auto" w:sz="4" w:space="0"/>
              <w:bottom w:val="single" w:color="000000" w:sz="4" w:space="0"/>
            </w:tcBorders>
            <w:vAlign w:val="top"/>
          </w:tcPr>
          <w:p>
            <w:pPr>
              <w:tabs>
                <w:tab w:val="left" w:pos="4185"/>
              </w:tabs>
              <w:snapToGrid w:val="0"/>
              <w:spacing w:before="156" w:beforeLines="50"/>
              <w:jc w:val="center"/>
              <w:rPr>
                <w:rFonts w:hint="eastAsia"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hint="eastAsia" w:cs="Arial"/>
                <w:kern w:val="0"/>
                <w:sz w:val="32"/>
                <w:szCs w:val="32"/>
              </w:rPr>
            </w:pPr>
            <w:r>
              <w:rPr>
                <w:rFonts w:hint="eastAsia" w:ascii="楷体" w:hAnsi="楷体" w:eastAsia="楷体" w:cs="Arial"/>
                <w:b/>
                <w:kern w:val="0"/>
                <w:sz w:val="24"/>
              </w:rPr>
              <w:t>（请注明获得时间及等级）</w:t>
            </w:r>
          </w:p>
          <w:p>
            <w:pPr>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教学奖项：</w:t>
            </w:r>
          </w:p>
          <w:p>
            <w:pPr>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全国检察教育培训精品课程：</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《民法典》中价值元素体系</w:t>
            </w:r>
            <w:r>
              <w:rPr>
                <w:rFonts w:hint="eastAsia" w:ascii="宋体" w:hAnsi="宋体" w:cs="宋体"/>
                <w:color w:val="auto"/>
                <w:kern w:val="0"/>
                <w:sz w:val="24"/>
                <w:szCs w:val="24"/>
                <w:lang w:val="en-US" w:eastAsia="zh-CN"/>
              </w:rPr>
              <w:t>”（2022年）</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sz w:val="24"/>
                <w:szCs w:val="24"/>
                <w:lang w:val="en-US" w:eastAsia="zh-CN"/>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lang w:eastAsia="zh-CN"/>
              </w:rPr>
              <w:t>全国检察教育培训精品课程：</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民法典实施中商事纠纷检察监督要点</w:t>
            </w:r>
            <w:r>
              <w:rPr>
                <w:rFonts w:hint="eastAsia" w:ascii="宋体" w:hAnsi="宋体" w:cs="宋体"/>
                <w:color w:val="auto"/>
                <w:kern w:val="0"/>
                <w:sz w:val="24"/>
                <w:szCs w:val="24"/>
                <w:lang w:val="en-US" w:eastAsia="zh-CN"/>
              </w:rPr>
              <w:t>”（2022年）</w:t>
            </w:r>
          </w:p>
          <w:p>
            <w:pPr>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482" w:firstLineChars="200"/>
              <w:textAlignment w:val="auto"/>
              <w:rPr>
                <w:rFonts w:hint="eastAsia" w:ascii="宋体" w:hAnsi="宋体" w:cs="宋体"/>
                <w:color w:val="auto"/>
                <w:kern w:val="0"/>
                <w:sz w:val="24"/>
                <w:szCs w:val="24"/>
                <w:lang w:eastAsia="zh-CN"/>
              </w:rPr>
            </w:pP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lang w:eastAsia="zh-CN"/>
              </w:rPr>
              <w:t>全国检察教育培训精品课程：</w:t>
            </w:r>
            <w:r>
              <w:rPr>
                <w:rFonts w:hint="eastAsia" w:ascii="宋体" w:hAnsi="宋体" w:eastAsia="宋体" w:cs="宋体"/>
                <w:color w:val="auto"/>
                <w:kern w:val="0"/>
                <w:sz w:val="24"/>
                <w:szCs w:val="24"/>
              </w:rPr>
              <w:t>“离婚财产分割案件审查重点”</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2018年</w:t>
            </w:r>
            <w:r>
              <w:rPr>
                <w:rFonts w:hint="eastAsia" w:ascii="宋体" w:hAnsi="宋体" w:cs="宋体"/>
                <w:color w:val="auto"/>
                <w:kern w:val="0"/>
                <w:sz w:val="24"/>
                <w:szCs w:val="24"/>
                <w:lang w:eastAsia="zh-CN"/>
              </w:rPr>
              <w:t>）</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4.国家检</w:t>
            </w:r>
            <w:r>
              <w:rPr>
                <w:rFonts w:hint="eastAsia" w:ascii="宋体" w:hAnsi="宋体" w:eastAsia="宋体" w:cs="宋体"/>
                <w:color w:val="auto"/>
                <w:kern w:val="0"/>
                <w:sz w:val="24"/>
                <w:szCs w:val="24"/>
                <w:lang w:val="en-US" w:eastAsia="zh-CN"/>
              </w:rPr>
              <w:t>察官学院青年教师创优课程：“《&lt;民法典&gt;中的价值元素体系》”（2020年）</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5.国家检察官学院最受检察官欢迎优秀课程：“学术沙龙：法律实证研究方法漫谈”（2018年）</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6.国家检察官学院青年教师创优课程：“案例教学：民刑交叉视野下新型侵财案件认定”（2018年）</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7.国家检察官学院最受检察官欢迎优秀课程：“婚姻家庭案件的审查重点与方法”（2018年）</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8.国家检察官学院2018年度优秀项目组：“第一期基层院副检察长学习贯彻十九大精神与民行检察业务培训班项目组”担任项目组长（2018年）</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2" w:firstLineChars="200"/>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学术奖项：</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9.2018年荣获中国法学会商法学会优秀成果一等奖，论文《商事合伙财产制度法律构造》。</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10.2012年荣获中国法学会商法学会优秀成果二等奖，论文《私募股权投资基金“入法”切入点:基金管理人准入机制》。</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2" w:firstLineChars="200"/>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工作嘉奖：</w:t>
            </w:r>
          </w:p>
          <w:p>
            <w:pPr>
              <w:pStyle w:val="2"/>
              <w:keepNext w:val="0"/>
              <w:keepLines w:val="0"/>
              <w:pageBreakBefore w:val="0"/>
              <w:kinsoku/>
              <w:wordWrap/>
              <w:overflowPunct/>
              <w:topLinePunct w:val="0"/>
              <w:autoSpaceDE/>
              <w:autoSpaceDN/>
              <w:bidi w:val="0"/>
              <w:adjustRightInd/>
              <w:snapToGrid/>
              <w:spacing w:before="157" w:beforeLines="50" w:after="157" w:afterLines="50" w:line="400" w:lineRule="exact"/>
              <w:ind w:left="0"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11.2012年度最高人民检察院嘉奖。（2012年）</w:t>
            </w:r>
          </w:p>
          <w:p>
            <w:pPr>
              <w:rPr>
                <w:rFonts w:hint="default"/>
                <w:lang w:val="en-US" w:eastAsia="zh-CN"/>
              </w:rPr>
            </w:pPr>
            <w:r>
              <w:rPr>
                <w:rFonts w:hint="eastAsia" w:ascii="宋体" w:hAnsi="宋体" w:eastAsia="宋体" w:cs="宋体"/>
                <w:color w:val="auto"/>
                <w:kern w:val="0"/>
                <w:sz w:val="24"/>
                <w:szCs w:val="24"/>
                <w:lang w:val="en-US" w:eastAsia="zh-CN"/>
              </w:rPr>
              <w:t xml:space="preserve">    12.2022年度最高人民检察院嘉奖。（2022年）</w:t>
            </w:r>
          </w:p>
          <w:p>
            <w:pPr>
              <w:tabs>
                <w:tab w:val="left" w:pos="4185"/>
              </w:tabs>
              <w:snapToGrid w:val="0"/>
              <w:jc w:val="center"/>
              <w:rPr>
                <w:rFonts w:hint="eastAsia" w:cs="Arial"/>
                <w:kern w:val="0"/>
                <w:sz w:val="32"/>
                <w:szCs w:val="32"/>
              </w:rPr>
            </w:pPr>
          </w:p>
        </w:tc>
      </w:tr>
    </w:tbl>
    <w:p>
      <w:pPr>
        <w:spacing w:line="20" w:lineRule="exact"/>
      </w:pPr>
      <w:bookmarkStart w:id="1" w:name="_GoBack"/>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201B43-9BC2-4503-B974-18A22FCFF5B2}"/>
  </w:font>
  <w:font w:name="黑体">
    <w:panose1 w:val="02010609060101010101"/>
    <w:charset w:val="86"/>
    <w:family w:val="auto"/>
    <w:pitch w:val="default"/>
    <w:sig w:usb0="800002BF" w:usb1="38CF7CFA" w:usb2="00000016" w:usb3="00000000" w:csb0="00040001" w:csb1="00000000"/>
    <w:embedRegular r:id="rId2" w:fontKey="{40AD73E4-952C-46FA-B7B3-D33CF0437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EB5027D8-36CA-4D1F-AA3B-0F957ED3E1B5}"/>
  </w:font>
  <w:font w:name="仿宋">
    <w:panose1 w:val="02010609060101010101"/>
    <w:charset w:val="86"/>
    <w:family w:val="modern"/>
    <w:pitch w:val="default"/>
    <w:sig w:usb0="800002BF" w:usb1="38CF7CFA" w:usb2="00000016" w:usb3="00000000" w:csb0="00040001" w:csb1="00000000"/>
    <w:embedRegular r:id="rId4" w:fontKey="{0897FE42-7178-4412-82D7-14F768C89F53}"/>
  </w:font>
  <w:font w:name="方正小标宋_GBK">
    <w:panose1 w:val="03000509000000000000"/>
    <w:charset w:val="86"/>
    <w:family w:val="script"/>
    <w:pitch w:val="default"/>
    <w:sig w:usb0="00000001" w:usb1="080E0000" w:usb2="00000000" w:usb3="00000000" w:csb0="00040000" w:csb1="00000000"/>
    <w:embedRegular r:id="rId5" w:fontKey="{2E55A54C-6D11-4943-B10A-90D8F43D9D42}"/>
  </w:font>
  <w:font w:name="Arial Narrow">
    <w:panose1 w:val="020B0606020202030204"/>
    <w:charset w:val="00"/>
    <w:family w:val="swiss"/>
    <w:pitch w:val="default"/>
    <w:sig w:usb0="00000287" w:usb1="00000800" w:usb2="00000000" w:usb3="00000000" w:csb0="2000009F" w:csb1="DFD70000"/>
    <w:embedRegular r:id="rId6" w:fontKey="{C03D1ED4-2F1F-43F3-B88B-139A155A6D13}"/>
  </w:font>
  <w:font w:name="华文中宋">
    <w:panose1 w:val="02010600040101010101"/>
    <w:charset w:val="86"/>
    <w:family w:val="auto"/>
    <w:pitch w:val="default"/>
    <w:sig w:usb0="00000287" w:usb1="080F0000" w:usb2="00000000" w:usb3="00000000" w:csb0="0004009F" w:csb1="DFD70000"/>
    <w:embedRegular r:id="rId7" w:fontKey="{4B4A14BC-1046-4729-BA5B-0B3334683234}"/>
  </w:font>
  <w:font w:name="楷体_GB2312">
    <w:altName w:val="楷体"/>
    <w:panose1 w:val="02010609030101010101"/>
    <w:charset w:val="86"/>
    <w:family w:val="modern"/>
    <w:pitch w:val="default"/>
    <w:sig w:usb0="00000000" w:usb1="00000000" w:usb2="00000000" w:usb3="00000000" w:csb0="00040000" w:csb1="00000000"/>
    <w:embedRegular r:id="rId8" w:fontKey="{D6D0104D-6F21-4B40-A2A2-443C4623FE6E}"/>
  </w:font>
  <w:font w:name="楷体">
    <w:panose1 w:val="02010609060101010101"/>
    <w:charset w:val="86"/>
    <w:family w:val="modern"/>
    <w:pitch w:val="default"/>
    <w:sig w:usb0="800002BF" w:usb1="38CF7CFA" w:usb2="00000016" w:usb3="00000000" w:csb0="00040001" w:csb1="00000000"/>
    <w:embedRegular r:id="rId9" w:fontKey="{73FC4BBC-FEBD-4420-B941-A9BCB6BA44FB}"/>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WNjNDYyYTNmOTgxMGY2OWQ2MmJlMDMyM2M5ZmIifQ=="/>
  </w:docVars>
  <w:rsids>
    <w:rsidRoot w:val="760B26B1"/>
    <w:rsid w:val="0052358C"/>
    <w:rsid w:val="00FB06D9"/>
    <w:rsid w:val="01DA6DCE"/>
    <w:rsid w:val="020016E9"/>
    <w:rsid w:val="04123CC8"/>
    <w:rsid w:val="04D255BF"/>
    <w:rsid w:val="077507D0"/>
    <w:rsid w:val="07DD0518"/>
    <w:rsid w:val="0A17611B"/>
    <w:rsid w:val="0E592DCB"/>
    <w:rsid w:val="11F651EC"/>
    <w:rsid w:val="12A91A30"/>
    <w:rsid w:val="130F0D70"/>
    <w:rsid w:val="146713E2"/>
    <w:rsid w:val="14774AE4"/>
    <w:rsid w:val="15284D87"/>
    <w:rsid w:val="16F30A98"/>
    <w:rsid w:val="19573E8D"/>
    <w:rsid w:val="1A453660"/>
    <w:rsid w:val="1B8E7A35"/>
    <w:rsid w:val="1CA83640"/>
    <w:rsid w:val="1D670EB2"/>
    <w:rsid w:val="1DD160A6"/>
    <w:rsid w:val="1DDE4B7D"/>
    <w:rsid w:val="1EBD9178"/>
    <w:rsid w:val="207B2B57"/>
    <w:rsid w:val="210E4343"/>
    <w:rsid w:val="22582E45"/>
    <w:rsid w:val="2293268A"/>
    <w:rsid w:val="23026C3F"/>
    <w:rsid w:val="24BB1734"/>
    <w:rsid w:val="25090C4A"/>
    <w:rsid w:val="28756A67"/>
    <w:rsid w:val="2B964CE9"/>
    <w:rsid w:val="2CEFB339"/>
    <w:rsid w:val="2E491A5F"/>
    <w:rsid w:val="2ECD2059"/>
    <w:rsid w:val="2EFBBC48"/>
    <w:rsid w:val="2F4231B5"/>
    <w:rsid w:val="2FA432C6"/>
    <w:rsid w:val="315518A0"/>
    <w:rsid w:val="323E2190"/>
    <w:rsid w:val="350206A2"/>
    <w:rsid w:val="36F6488E"/>
    <w:rsid w:val="390F7E89"/>
    <w:rsid w:val="3B9D0C2F"/>
    <w:rsid w:val="3BBF1B45"/>
    <w:rsid w:val="3D2E6DD1"/>
    <w:rsid w:val="3DFF8C80"/>
    <w:rsid w:val="3E6E4994"/>
    <w:rsid w:val="3FAC72FC"/>
    <w:rsid w:val="3FDF6C0E"/>
    <w:rsid w:val="3FE95ABC"/>
    <w:rsid w:val="428A61D6"/>
    <w:rsid w:val="445B0426"/>
    <w:rsid w:val="44FF4C8B"/>
    <w:rsid w:val="456B28EB"/>
    <w:rsid w:val="46F4031D"/>
    <w:rsid w:val="470F18C2"/>
    <w:rsid w:val="4B0B4954"/>
    <w:rsid w:val="4DEE5E6C"/>
    <w:rsid w:val="4EB66985"/>
    <w:rsid w:val="4F11005F"/>
    <w:rsid w:val="4F196F13"/>
    <w:rsid w:val="500B2D00"/>
    <w:rsid w:val="51F331E0"/>
    <w:rsid w:val="529E127D"/>
    <w:rsid w:val="542F51AB"/>
    <w:rsid w:val="56EEFD7E"/>
    <w:rsid w:val="56FA5EF9"/>
    <w:rsid w:val="57B74E1B"/>
    <w:rsid w:val="591FD8F5"/>
    <w:rsid w:val="597638E0"/>
    <w:rsid w:val="5999291B"/>
    <w:rsid w:val="5AAC40BB"/>
    <w:rsid w:val="5B101B12"/>
    <w:rsid w:val="5DD32290"/>
    <w:rsid w:val="5DF46E1D"/>
    <w:rsid w:val="5DFEE7D4"/>
    <w:rsid w:val="5E8E1C6D"/>
    <w:rsid w:val="5EF7101F"/>
    <w:rsid w:val="5F3743E3"/>
    <w:rsid w:val="5FBC2178"/>
    <w:rsid w:val="60E94998"/>
    <w:rsid w:val="632F5AA4"/>
    <w:rsid w:val="64341C13"/>
    <w:rsid w:val="67550FD9"/>
    <w:rsid w:val="680D18B3"/>
    <w:rsid w:val="681744E0"/>
    <w:rsid w:val="6ADF73D5"/>
    <w:rsid w:val="6C7D34D7"/>
    <w:rsid w:val="6CA9147F"/>
    <w:rsid w:val="6E9F5561"/>
    <w:rsid w:val="6F9B4CF3"/>
    <w:rsid w:val="6FAF0381"/>
    <w:rsid w:val="6FFF2EC6"/>
    <w:rsid w:val="717B1A73"/>
    <w:rsid w:val="719E7958"/>
    <w:rsid w:val="74AD3940"/>
    <w:rsid w:val="74B135C7"/>
    <w:rsid w:val="75F63219"/>
    <w:rsid w:val="760B26B1"/>
    <w:rsid w:val="779030EB"/>
    <w:rsid w:val="77D070AC"/>
    <w:rsid w:val="77F305DD"/>
    <w:rsid w:val="783C3AEF"/>
    <w:rsid w:val="78744294"/>
    <w:rsid w:val="79A731EA"/>
    <w:rsid w:val="79FC01D8"/>
    <w:rsid w:val="7A8FFAC6"/>
    <w:rsid w:val="7AE00762"/>
    <w:rsid w:val="7AFB59A5"/>
    <w:rsid w:val="7BBE2D85"/>
    <w:rsid w:val="7BDB2532"/>
    <w:rsid w:val="7BDFCBFF"/>
    <w:rsid w:val="7C484810"/>
    <w:rsid w:val="7CEF7582"/>
    <w:rsid w:val="7CF0325F"/>
    <w:rsid w:val="7CFECE28"/>
    <w:rsid w:val="7DB18C74"/>
    <w:rsid w:val="7DBAEB37"/>
    <w:rsid w:val="7DBF1A34"/>
    <w:rsid w:val="7DEB2C32"/>
    <w:rsid w:val="7DF7D78C"/>
    <w:rsid w:val="7DFF523D"/>
    <w:rsid w:val="7E5F3199"/>
    <w:rsid w:val="7EF35ADA"/>
    <w:rsid w:val="7EFF581A"/>
    <w:rsid w:val="7F7B04A8"/>
    <w:rsid w:val="7F7EF37E"/>
    <w:rsid w:val="7FA5EC14"/>
    <w:rsid w:val="7FD7D6B2"/>
    <w:rsid w:val="7FDF6E87"/>
    <w:rsid w:val="7FF37BAA"/>
    <w:rsid w:val="7FF78D9E"/>
    <w:rsid w:val="9BFC7399"/>
    <w:rsid w:val="9DBC5BFE"/>
    <w:rsid w:val="A7EB79A2"/>
    <w:rsid w:val="ABC2528A"/>
    <w:rsid w:val="ABFD3B40"/>
    <w:rsid w:val="AE8F304D"/>
    <w:rsid w:val="AFFF087D"/>
    <w:rsid w:val="B7D56515"/>
    <w:rsid w:val="B9EF54B5"/>
    <w:rsid w:val="BE3FDE16"/>
    <w:rsid w:val="BEFF65E4"/>
    <w:rsid w:val="D7371D03"/>
    <w:rsid w:val="D7FE4373"/>
    <w:rsid w:val="DE7F24A6"/>
    <w:rsid w:val="ED661AE8"/>
    <w:rsid w:val="EDFF9236"/>
    <w:rsid w:val="EE3AE23B"/>
    <w:rsid w:val="EEFDCF1B"/>
    <w:rsid w:val="EF358C7A"/>
    <w:rsid w:val="EFBFEC5E"/>
    <w:rsid w:val="F2715785"/>
    <w:rsid w:val="F3D759E3"/>
    <w:rsid w:val="F7AF7DD2"/>
    <w:rsid w:val="F88DEB44"/>
    <w:rsid w:val="FAFBA160"/>
    <w:rsid w:val="FBDBA10B"/>
    <w:rsid w:val="FBF77622"/>
    <w:rsid w:val="FDBAD6EE"/>
    <w:rsid w:val="FE7F89ED"/>
    <w:rsid w:val="FEFFABE1"/>
    <w:rsid w:val="FF6D7F3E"/>
    <w:rsid w:val="FFAD001C"/>
    <w:rsid w:val="FFBF67D3"/>
    <w:rsid w:val="FFD77033"/>
    <w:rsid w:val="FFDF0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rPr>
  </w:style>
  <w:style w:type="paragraph" w:styleId="3">
    <w:name w:val="Body Text Indent"/>
    <w:basedOn w:val="1"/>
    <w:qFormat/>
    <w:uiPriority w:val="0"/>
    <w:pPr>
      <w:ind w:firstLine="63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hd\F:\2023&#8212;&#8212;&#36870;&#39118;&#32763;&#30424;\2022&#8212;&#8212;&#22870;&#39033;&#30003;&#35831;\2022&#8212;&#8212;&#21313;&#22823;&#8212;&#8212;&#36870;&#39118;&#32763;&#30424;\2023&#26368;&#39640;&#26816;&#31995;&#32479;&#8212;&#8212;&#21313;&#22823;&#30003;&#35831;&#26448;&#26009;&#30003;&#25253;&#8212;&#8212;&#36213;&#29577;-&#22269;&#23478;&#26816;&#23519;&#23448;&#23398;&#38498;\1&#8212;&#8212;&#25512;&#33616;&#34920;&#65288;&#21547;&#20826;&#32452;&#12289;&#32426;&#26816;&#24847;&#35265;&#65289;&#8212;&#8212;&#36213;&#29577;&#8212;&#22269;&#23478;&#26816;&#23519;&#23448;&#23398;&#3849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1——推荐表（含党组、纪检意见）——赵玉—国家检察官学院.dot</Template>
  <Pages>9</Pages>
  <Words>4590</Words>
  <Characters>4962</Characters>
  <Lines>12</Lines>
  <Paragraphs>3</Paragraphs>
  <TotalTime>11</TotalTime>
  <ScaleCrop>false</ScaleCrop>
  <LinksUpToDate>false</LinksUpToDate>
  <CharactersWithSpaces>5097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2023-03-15T15:43:00Z</dcterms:created>
  <dc:creator>zhaoyuberyl</dc:creator>
  <cp:lastModifiedBy>执牛耳</cp:lastModifiedBy>
  <dcterms:modified xsi:type="dcterms:W3CDTF">2023-04-27T08:28:38Z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69A8D90E9B894C9FA380C6FEDC7E157E</vt:lpwstr>
  </property>
</Properties>
</file>