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周刚志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湖南师范大学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中国法学会法治文化研究会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</w:t>
      </w:r>
    </w:p>
    <w:p>
      <w:pPr>
        <w:snapToGrid w:val="0"/>
        <w:ind w:left="1260" w:leftChars="0" w:firstLine="1606" w:firstLineChars="5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湖南师范大学法学院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周刚志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0775" cy="1666240"/>
                  <wp:effectExtent l="0" t="0" r="9525" b="10160"/>
                  <wp:docPr id="1" name="图片 1" descr="老师的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老师的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1977.02.08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湖南师范大学法学院副院长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湖南省长沙市湖南师范大学法学院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湖南省长沙市岳麓区麓山路36号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发表论文150篇（其中CSSCI刊物论文50篇），在中国人民大学出版社等出版社出版个人专著、合著6本，主编或者参编各类法学教材10多本，《公法学刊》主编“部门宪法丛书总主编”“文化法学丛书总主编”。代表作品如下：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一、专著类</w:t>
            </w:r>
          </w:p>
          <w:p>
            <w:pPr>
              <w:pStyle w:val="12"/>
              <w:numPr>
                <w:ilvl w:val="1"/>
                <w:numId w:val="2"/>
              </w:numPr>
              <w:snapToGrid w:val="0"/>
              <w:ind w:left="884" w:hanging="426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《财政转型的宪法原理》（独著；2014.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06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；中国人民大学出版社；3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万字）</w:t>
            </w:r>
          </w:p>
          <w:p>
            <w:pPr>
              <w:pStyle w:val="12"/>
              <w:numPr>
                <w:ilvl w:val="1"/>
                <w:numId w:val="2"/>
              </w:numPr>
              <w:snapToGrid w:val="0"/>
              <w:ind w:left="884" w:hanging="426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《宪法学专论》（合著、第三作者；2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006.11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；科学出版社；3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万字）</w:t>
            </w:r>
          </w:p>
          <w:p>
            <w:pPr>
              <w:pStyle w:val="12"/>
              <w:numPr>
                <w:ilvl w:val="1"/>
                <w:numId w:val="2"/>
              </w:numPr>
              <w:snapToGrid w:val="0"/>
              <w:ind w:left="884" w:hanging="426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《行政法学专论》（独著；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2009.07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；厦门大学出版社，3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万字）</w:t>
            </w:r>
          </w:p>
          <w:p>
            <w:pPr>
              <w:pStyle w:val="12"/>
              <w:numPr>
                <w:ilvl w:val="1"/>
                <w:numId w:val="2"/>
              </w:numPr>
              <w:snapToGrid w:val="0"/>
              <w:ind w:left="884" w:hanging="426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《弱势群体宪法权利研究》（合著、第一作者；2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017.04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；中国政法大学出版社；2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5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万字）</w:t>
            </w:r>
          </w:p>
          <w:p>
            <w:pPr>
              <w:pStyle w:val="12"/>
              <w:numPr>
                <w:ilvl w:val="1"/>
                <w:numId w:val="2"/>
              </w:numPr>
              <w:snapToGrid w:val="0"/>
              <w:ind w:left="884" w:hanging="426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《论文化法：理念与规范》（主编；2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019.05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；中国政法大学出版社；2</w:t>
            </w:r>
            <w:r>
              <w:rPr>
                <w:rFonts w:ascii="楷体_GB2312" w:hAnsi="楷体" w:eastAsia="楷体_GB2312"/>
                <w:bCs/>
                <w:color w:val="000000"/>
                <w:sz w:val="24"/>
              </w:rPr>
              <w:t>8</w:t>
            </w:r>
            <w:r>
              <w:rPr>
                <w:rFonts w:hint="eastAsia" w:ascii="楷体_GB2312" w:hAnsi="楷体" w:eastAsia="楷体_GB2312"/>
                <w:bCs/>
                <w:color w:val="000000"/>
                <w:sz w:val="24"/>
              </w:rPr>
              <w:t>万字）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二、论文类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《论消极权利与积极权利》，（独著；2015.05.13；法学评论；被引用数44）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"http://kns.cnki.net/kns/detail/detail.aspx?QueryID=8&amp;CurRec=5&amp;DbCode=%20CJFD&amp;dbname=CJFD2006&amp;filename=XDFX200604006&amp;urlid=&amp;yx=" \t "http://kns.cnki.net/kns/brief/_blank"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公物概念及其在我国的适用——兼析&lt;物权法草案(征求意见稿)&gt;相关条款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fldChar w:fldCharType="end"/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》，（独著；2006.07.15；现代法学；被引用数36）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《论我国府际关系的法治化——以我国政府间财政关系为切入点》，（独著；2008.03.15；法商研究；被引用数29）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"http://kns.cnki.net/kns/detail/detail.aspx?QueryID=3&amp;CurRec=20&amp;DbCode=%20CJFD&amp;dbname=CJFD2010&amp;filename=FXPL201003000&amp;urlid=&amp;yx=" \t "http://kns.cnki.net/kns/brief/_blank"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部门宪法释义学刍议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fldChar w:fldCharType="end"/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》，（独著；2010.05.13；法学评论；被引用数28）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《论行政调查取证行为之合法性控制》，（独著；2010.03.10；江苏行政学院学报；2010.03.10；26）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《论合宪性解释》，（独著；2010.01.15；浙江社会科学；被引用数25）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《财政宪法学初论》，（独著；2005.03.28；厦门大学学报（哲社版）；被引用数24）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《论中国文化产业的立法模式——以社会主义核心价值观为价值引导》，（合著、第一作者；2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019.04.11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；湖南大学学报(社会科学版)；被引用数2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《论中国文化法律体系之基本构成》，（独著；2015.02.15；浙江社会科学；被引用数18）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《“两法衔接”的制度法理——基于“优化营商环境”的视角》，（合著、第一作者；2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021.03.11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；法学评论；被引用数1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4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《论“财政国家”的宪法类型及其中国模式》，（独著；2012.01.13；法学评论；被引用数14）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《论税收债权的消灭时效》，（独著；2011.03.01；税务研究；被引用数14）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《图书馆信息网络传播权研究》，（合著、第一作者；图书馆工作与研究；2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018.05.21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；被引用数1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3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《学术研究自由权的宪法比较分析》，（独著；2017.03.13；法学评论；被引用数6）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《论国家文化法制体系——基于文化与法治关系的理论视角》，（独著；2020.12.10；政法论丛；被引用数6）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ind w:left="851" w:firstLineChars="0"/>
              <w:rPr>
                <w:rFonts w:ascii="楷体_GB2312" w:hAnsi="楷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《论优秀传统法治文化在文化强国建设中的意义》，（独著；2022.07.10；民主与法制；被引用数6）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2013年入选湖南省青年社会科学研究人才“百人工程”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2018年湖南省“重点智库·特色智库”首席专家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2020年湖南省芙蓉青年学者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2020年入选“文化和旅游部优秀专家”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2021年，被聘为湖南省人大立法咨询专家，入选文化和旅游部法治专家委员会委员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9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年，中国社会科学院《2018年中国智库成果与人才评价报告》“中国智库创新人才奖”入围名单。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个人专著《行政法学专论》（厦门大学出版社2009年版）2010年荣获福建省政法委、福建省法学会颁发的“第三届福建省优秀法学研究成果奖”，副省级奖励。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2012年9月1日，获得第四届法治政府·南岳论坛优秀论文奖（《“两型社会”建设之法制构造》一文），湖南省政府、中国行为法学会、中南大学共同颁发，省部级奖励。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2012年12月1</w:t>
            </w: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0日，《论中国社会主义法律体系形成之后地方人大的法治使命》一文，荣获湖南省人大常委会研究室“全省纪念现行宪法公布实施30周年暨人大工作理论研讨会”“二等奖”，厅局级奖励。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2015年11月，撰写的《人民政协民主协商职能之宪法解读--基于中国共产党协商民主理论的视角》一文，获得湖南统战理论与实践创新研讨会论文评选三等奖，中共湖南省委统战部颁发，厅局级奖励。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2016年10月10日，《论“消极权利”与“积极权利”--中国宪法权利性质之实证分析》一文，荣获第九届中青年宪法学者优秀科研成果奖二等奖（中国宪法学研究会颁发，厅局级奖励。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2016年12月10日，《中国财政国家模式的困境及其突破--“供给侧改革”的财税法分析》一文，在“2016中国税法论坛暨第五届中国税务律师和税务师论坛”论文中荣获一等奖，中华全国律师协会、中国注册税务师协会颁发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2017年2月，撰写的《城镇化进程中的民族交往交融问题研究》一文，荣获2016年度全省统战理论政策研究成果一等奖，厅局级奖励。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2017年2月，中南大学《打造统一战线“参政议政工作室”助力党外人士履职》（担任中南大学参政议政工作室副主任并主持工作期间），获得2016年度全省统战工作实践创新成果奖，厅局级奖励。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2017年湖南省文化厅重大课题“文化文物单位文创产品开发的知识产权保护与运营研究”课题组课题，课题报告荣获全国文化系统2017年度优秀调研报告。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2018年5月，中南大学中国文化法研究中心入选“湖南省省级重点智库·专业特色智库”，副省级研究基地。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2018年12月，《论法学智库研究：现状、方法与发展战略》，获得“湖湘智库论坛（2018）优秀论文奖”，厅局级奖励。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2018年12月，纪念改革开放40周年全国法治书画摄影展暨“法治文化与法治中国”论坛中获得征文二等奖，法制日报社、中华全国法制新闻协会颁发，厅局级奖励。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2019年1月，入围2018年中国社会科学院中国社会科学评价研究院“中国智库创新人才奖”评选。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2019年1月，《论人民政协的民主监督职能》获2018年度湖南省人民政协理论研究优秀论文三等奖。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2019年3月，《以文化法治保障我国文化大发展大繁荣》，获法制日报社和中华全国法制新闻协会“法治文化与法治中国”论坛二等奖，中国法学会法治文化研究会和民主与法制社“加强社会主义法治文化理论研究”征文二等奖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2019年2月，《创办“国是论坛”，建设统战高端智库》荣获2018年度全省统战工作实践创新成果奖（担任中南大学参政议政工作室副主任并主持工作期间），厅局级奖励。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0C0C0C"/>
                <w:sz w:val="24"/>
              </w:rPr>
              <w:t>2019年12月，中南大学中国文化法研究中心入选中华人民共和国文化和旅游部“文化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和旅游研究基地”，部级基地。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2020年，《论地方公共文化服务立法：类型、体例与原则》获湖南省第六次地方立法理论研讨征文活动一等奖，厅局级奖励。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240" w:firstLine="0" w:firstLineChars="0"/>
              <w:jc w:val="left"/>
              <w:rPr>
                <w:rFonts w:ascii="楷体_GB2312" w:hAnsi="楷体" w:eastAsia="楷体_GB2312"/>
                <w:bCs/>
                <w:color w:val="FF0000"/>
                <w:sz w:val="24"/>
              </w:rPr>
            </w:pP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2</w:t>
            </w:r>
            <w:r>
              <w:rPr>
                <w:rFonts w:ascii="楷体_GB2312" w:hAnsi="楷体" w:eastAsia="楷体_GB2312"/>
                <w:bCs/>
                <w:color w:val="auto"/>
                <w:sz w:val="24"/>
              </w:rPr>
              <w:t>020</w:t>
            </w:r>
            <w:r>
              <w:rPr>
                <w:rFonts w:hint="eastAsia" w:ascii="楷体_GB2312" w:hAnsi="楷体" w:eastAsia="楷体_GB2312"/>
                <w:bCs/>
                <w:color w:val="auto"/>
                <w:sz w:val="24"/>
              </w:rPr>
              <w:t>年，国家社会科学基金重点项目“中国文化法律体系及其实施机制研究”结题报告获评优秀。</w:t>
            </w: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pStyle w:val="12"/>
              <w:tabs>
                <w:tab w:val="left" w:pos="4185"/>
              </w:tabs>
              <w:snapToGrid w:val="0"/>
              <w:ind w:left="660" w:firstLine="0" w:firstLineChars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Cs/>
                <w:color w:val="0C0C0C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3328DC"/>
    <w:multiLevelType w:val="multilevel"/>
    <w:tmpl w:val="653328DC"/>
    <w:lvl w:ilvl="0" w:tentative="0">
      <w:start w:val="1"/>
      <w:numFmt w:val="decimal"/>
      <w:lvlText w:val="%1."/>
      <w:lvlJc w:val="left"/>
      <w:pPr>
        <w:ind w:left="138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EA6679"/>
    <w:multiLevelType w:val="multilevel"/>
    <w:tmpl w:val="75EA667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1B66D4"/>
    <w:rsid w:val="00265CED"/>
    <w:rsid w:val="00283ACE"/>
    <w:rsid w:val="00336FFA"/>
    <w:rsid w:val="00350FA8"/>
    <w:rsid w:val="00383D0B"/>
    <w:rsid w:val="004932C4"/>
    <w:rsid w:val="004A026E"/>
    <w:rsid w:val="004E7BB8"/>
    <w:rsid w:val="0052358C"/>
    <w:rsid w:val="00553AF4"/>
    <w:rsid w:val="00557AFB"/>
    <w:rsid w:val="00573570"/>
    <w:rsid w:val="00573700"/>
    <w:rsid w:val="005E60EF"/>
    <w:rsid w:val="006738EC"/>
    <w:rsid w:val="006A32FA"/>
    <w:rsid w:val="006C2729"/>
    <w:rsid w:val="006E7F74"/>
    <w:rsid w:val="007443F2"/>
    <w:rsid w:val="007462F9"/>
    <w:rsid w:val="00747429"/>
    <w:rsid w:val="00772EE6"/>
    <w:rsid w:val="007A3E9C"/>
    <w:rsid w:val="00815B9F"/>
    <w:rsid w:val="00890092"/>
    <w:rsid w:val="00893E53"/>
    <w:rsid w:val="009102EA"/>
    <w:rsid w:val="0091325D"/>
    <w:rsid w:val="00953740"/>
    <w:rsid w:val="009B288B"/>
    <w:rsid w:val="00A41205"/>
    <w:rsid w:val="00A833B8"/>
    <w:rsid w:val="00A93D76"/>
    <w:rsid w:val="00AC5EF5"/>
    <w:rsid w:val="00C311BA"/>
    <w:rsid w:val="00CD2752"/>
    <w:rsid w:val="00D13AAF"/>
    <w:rsid w:val="00D5063D"/>
    <w:rsid w:val="00D932CF"/>
    <w:rsid w:val="00DF1B02"/>
    <w:rsid w:val="00E443B5"/>
    <w:rsid w:val="00E8219E"/>
    <w:rsid w:val="00E92515"/>
    <w:rsid w:val="00E93B18"/>
    <w:rsid w:val="00EA36B8"/>
    <w:rsid w:val="00F2369A"/>
    <w:rsid w:val="00FB06D9"/>
    <w:rsid w:val="00FC0266"/>
    <w:rsid w:val="01763BCE"/>
    <w:rsid w:val="02160F0D"/>
    <w:rsid w:val="03DB41BC"/>
    <w:rsid w:val="0E411071"/>
    <w:rsid w:val="10E64C3F"/>
    <w:rsid w:val="11CD2012"/>
    <w:rsid w:val="11E97AC6"/>
    <w:rsid w:val="122B4561"/>
    <w:rsid w:val="14574984"/>
    <w:rsid w:val="146401FE"/>
    <w:rsid w:val="1EBD9178"/>
    <w:rsid w:val="1FE3647B"/>
    <w:rsid w:val="20270A5D"/>
    <w:rsid w:val="20BD6CCC"/>
    <w:rsid w:val="236160D5"/>
    <w:rsid w:val="241A2687"/>
    <w:rsid w:val="25284B3E"/>
    <w:rsid w:val="25585215"/>
    <w:rsid w:val="25EB3293"/>
    <w:rsid w:val="29027D1A"/>
    <w:rsid w:val="2B51642E"/>
    <w:rsid w:val="2B731DAD"/>
    <w:rsid w:val="2CEFB339"/>
    <w:rsid w:val="2EFBBC48"/>
    <w:rsid w:val="3B9D0C2F"/>
    <w:rsid w:val="3BBF1B45"/>
    <w:rsid w:val="3CF67395"/>
    <w:rsid w:val="3DFF8C80"/>
    <w:rsid w:val="3FAC72FC"/>
    <w:rsid w:val="3FDF6C0E"/>
    <w:rsid w:val="3FE95ABC"/>
    <w:rsid w:val="422B4529"/>
    <w:rsid w:val="4A607A0B"/>
    <w:rsid w:val="4C213D03"/>
    <w:rsid w:val="52240051"/>
    <w:rsid w:val="55D179A1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8BC65E9"/>
    <w:rsid w:val="6F9B4CF3"/>
    <w:rsid w:val="6FAF0381"/>
    <w:rsid w:val="6FFF2EC6"/>
    <w:rsid w:val="72AD1143"/>
    <w:rsid w:val="740933B5"/>
    <w:rsid w:val="752B3347"/>
    <w:rsid w:val="798E7A17"/>
    <w:rsid w:val="79B81A43"/>
    <w:rsid w:val="7A8FFAC6"/>
    <w:rsid w:val="7AFB59A5"/>
    <w:rsid w:val="7BDFCBFF"/>
    <w:rsid w:val="7CB213FA"/>
    <w:rsid w:val="7CFECE28"/>
    <w:rsid w:val="7DB18C74"/>
    <w:rsid w:val="7DBAEB37"/>
    <w:rsid w:val="7DBF1A34"/>
    <w:rsid w:val="7DEB2C32"/>
    <w:rsid w:val="7DFF523D"/>
    <w:rsid w:val="7E5F3199"/>
    <w:rsid w:val="7EF35ADA"/>
    <w:rsid w:val="7F6C5138"/>
    <w:rsid w:val="7F7B04A8"/>
    <w:rsid w:val="7F7EF37E"/>
    <w:rsid w:val="7F9A47B1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6C6DEC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6BC5A60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8241</Words>
  <Characters>9156</Characters>
  <Lines>92</Lines>
  <Paragraphs>26</Paragraphs>
  <TotalTime>14</TotalTime>
  <ScaleCrop>false</ScaleCrop>
  <LinksUpToDate>false</LinksUpToDate>
  <CharactersWithSpaces>9277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2023-03-03T23:07:00Z</dcterms:created>
  <dc:creator>fxhuser</dc:creator>
  <cp:lastModifiedBy>执牛耳</cp:lastModifiedBy>
  <cp:lastPrinted>2022-12-28T16:41:00Z</cp:lastPrinted>
  <dcterms:modified xsi:type="dcterms:W3CDTF">2023-04-27T08:10:00Z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2D31E4CCF8D341A8847838D18B72E177</vt:lpwstr>
  </property>
</Properties>
</file>