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宋亚辉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南京大学法学院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2" w:firstLineChars="200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江苏省法学会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     </w:t>
      </w:r>
    </w:p>
    <w:p>
      <w:pPr>
        <w:snapToGrid w:val="0"/>
        <w:ind w:firstLine="642" w:firstLineChars="200"/>
        <w:rPr>
          <w:rFonts w:hint="default" w:eastAsia="仿宋_GB2312"/>
          <w:b/>
          <w:bCs/>
          <w:sz w:val="32"/>
          <w:szCs w:val="32"/>
          <w:u w:val="single"/>
        </w:rPr>
      </w:pPr>
      <w:r>
        <w:rPr>
          <w:rFonts w:hint="default" w:eastAsia="仿宋_GB2312"/>
          <w:b/>
          <w:bCs/>
          <w:sz w:val="32"/>
          <w:szCs w:val="32"/>
          <w:u w:val="none"/>
          <w:lang w:eastAsia="zh-Hans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none"/>
        </w:rPr>
        <w:t xml:space="preserve">   </w:t>
      </w:r>
      <w:r>
        <w:rPr>
          <w:rFonts w:hint="default" w:eastAsia="仿宋_GB2312"/>
          <w:b/>
          <w:bCs/>
          <w:sz w:val="32"/>
          <w:szCs w:val="32"/>
          <w:u w:val="none"/>
        </w:rPr>
        <w:t xml:space="preserve">  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中国法学会经济法学研究会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</w:t>
      </w:r>
    </w:p>
    <w:p>
      <w:pPr>
        <w:snapToGrid w:val="0"/>
        <w:ind w:firstLine="642" w:firstLineChars="200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  <w:r>
        <w:rPr>
          <w:rFonts w:hint="eastAsia" w:eastAsia="仿宋_GB2312"/>
          <w:b/>
          <w:bCs/>
          <w:sz w:val="32"/>
          <w:szCs w:val="32"/>
          <w:u w:val="none"/>
        </w:rPr>
        <w:t xml:space="preserve">   </w:t>
      </w:r>
      <w:r>
        <w:rPr>
          <w:rFonts w:hint="default" w:eastAsia="仿宋_GB2312"/>
          <w:b/>
          <w:bCs/>
          <w:sz w:val="32"/>
          <w:szCs w:val="32"/>
          <w:u w:val="none"/>
        </w:rPr>
        <w:t xml:space="preserve">    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南京大学法学会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73" w:firstLineChars="1050"/>
        <w:rPr>
          <w:rFonts w:ascii="宋体" w:hAnsi="Arial Narrow"/>
          <w:b/>
          <w:bCs/>
          <w:sz w:val="32"/>
          <w:szCs w:val="32"/>
        </w:rPr>
      </w:pPr>
      <w:r>
        <w:rPr>
          <w:rFonts w:hint="eastAsia" w:ascii="宋体" w:hAnsi="Arial Narrow"/>
          <w:b/>
          <w:bCs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b/>
          <w:bCs/>
          <w:sz w:val="32"/>
          <w:szCs w:val="32"/>
        </w:rPr>
        <w:t>202</w:t>
      </w:r>
      <w:r>
        <w:rPr>
          <w:rFonts w:ascii="宋体" w:hAnsi="Arial Narrow"/>
          <w:b/>
          <w:bCs/>
          <w:sz w:val="32"/>
          <w:szCs w:val="32"/>
          <w:lang w:val="en"/>
        </w:rPr>
        <w:t>2</w:t>
      </w:r>
      <w:r>
        <w:rPr>
          <w:rFonts w:hint="eastAsia" w:ascii="宋体" w:hAnsi="Arial Narrow"/>
          <w:b/>
          <w:bCs/>
          <w:sz w:val="32"/>
          <w:szCs w:val="32"/>
        </w:rPr>
        <w:t>年</w:t>
      </w:r>
      <w:r>
        <w:rPr>
          <w:rFonts w:ascii="宋体" w:hAnsi="Arial Narrow"/>
          <w:b/>
          <w:bCs/>
          <w:sz w:val="32"/>
          <w:szCs w:val="32"/>
          <w:lang w:val="en"/>
        </w:rPr>
        <w:t>12</w:t>
      </w:r>
      <w:r>
        <w:rPr>
          <w:rFonts w:hint="eastAsia" w:ascii="宋体" w:hAnsi="Arial Narrow"/>
          <w:b/>
          <w:bCs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6"/>
        <w:tblpPr w:leftFromText="180" w:rightFromText="180" w:vertAnchor="text" w:horzAnchor="page" w:tblpX="1732" w:tblpY="-22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162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755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宋亚辉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162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2126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pict>
                <v:shape id="_x0000_i1025" o:spt="75" type="#_x0000_t75" style="height:134.45pt;width:90.15pt;" filled="f" o:preferrelative="t" stroked="f" coordsize="21600,21600">
                  <v:path/>
                  <v:fill on="f" focussize="0,0"/>
                  <v:stroke on="f" joinstyle="miter"/>
                  <v:imagedata r:id="rId5" o:title="487-1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1984.12.20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汉族</w:t>
            </w:r>
          </w:p>
        </w:tc>
        <w:tc>
          <w:tcPr>
            <w:tcW w:w="2126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2126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无</w:t>
            </w:r>
          </w:p>
        </w:tc>
        <w:tc>
          <w:tcPr>
            <w:tcW w:w="2126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009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南京大学法学院</w:t>
            </w:r>
          </w:p>
        </w:tc>
        <w:tc>
          <w:tcPr>
            <w:tcW w:w="2126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135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南京市汉口路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22号南京大学法学院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55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 w:line="276" w:lineRule="auto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rPr>
                <w:rFonts w:ascii="楷体_GB2312" w:hAnsi="楷体" w:eastAsia="楷体_GB2312"/>
                <w:b/>
                <w:color w:val="000000"/>
                <w:sz w:val="6"/>
                <w:szCs w:val="6"/>
              </w:rPr>
            </w:pP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8"/>
                <w:szCs w:val="28"/>
              </w:rPr>
              <w:t>一、学术专著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．独著《超越公私二分:风险领域的公私法合作理论》,商务印书馆2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022,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8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2．独著《虚假广告的法律治理》，北京大学出版社2019，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29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3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．独著《社会性规制的路径选择》，法律出版社2017，3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0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10"/>
                <w:szCs w:val="10"/>
              </w:rPr>
            </w:pP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8"/>
                <w:szCs w:val="28"/>
              </w:rPr>
              <w:t>二、法学核心期刊论文（CLSCI）</w:t>
            </w:r>
          </w:p>
          <w:p>
            <w:pPr>
              <w:tabs>
                <w:tab w:val="left" w:pos="3467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 xml:space="preserve">. 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独著《营利概念与中国法人法的体系效应》，《中国社会科学》2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020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年第6期</w:t>
            </w:r>
          </w:p>
          <w:p>
            <w:pPr>
              <w:tabs>
                <w:tab w:val="left" w:pos="3467"/>
              </w:tabs>
              <w:snapToGrid w:val="0"/>
              <w:spacing w:line="276" w:lineRule="auto"/>
              <w:ind w:firstLine="843" w:firstLineChars="35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（被引1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次）</w:t>
            </w:r>
          </w:p>
          <w:p>
            <w:pPr>
              <w:tabs>
                <w:tab w:val="left" w:pos="3467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 xml:space="preserve">. 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独著《风险控制的部门法思路及其超越》，《中国社会科学》2017年第10期</w:t>
            </w:r>
          </w:p>
          <w:p>
            <w:pPr>
              <w:tabs>
                <w:tab w:val="left" w:pos="3467"/>
              </w:tabs>
              <w:snapToGrid w:val="0"/>
              <w:spacing w:line="276" w:lineRule="auto"/>
              <w:ind w:firstLine="843" w:firstLineChars="35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89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次）</w:t>
            </w:r>
          </w:p>
          <w:p>
            <w:pPr>
              <w:tabs>
                <w:tab w:val="left" w:pos="3467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3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独著《追求裁判的社会效果：1983-2012》，《法学研究》2017年第5期</w:t>
            </w:r>
          </w:p>
          <w:p>
            <w:pPr>
              <w:tabs>
                <w:tab w:val="left" w:pos="3467"/>
              </w:tabs>
              <w:snapToGrid w:val="0"/>
              <w:spacing w:line="276" w:lineRule="auto"/>
              <w:ind w:firstLine="843" w:firstLineChars="35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58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次）</w:t>
            </w:r>
          </w:p>
          <w:p>
            <w:pPr>
              <w:tabs>
                <w:tab w:val="left" w:pos="3467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4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独著《环境管制标准在侵权法上的效力解释》，《法学研究》2013年第3期</w:t>
            </w:r>
          </w:p>
          <w:p>
            <w:pPr>
              <w:tabs>
                <w:tab w:val="left" w:pos="3467"/>
              </w:tabs>
              <w:snapToGrid w:val="0"/>
              <w:spacing w:line="276" w:lineRule="auto"/>
              <w:ind w:firstLine="843" w:firstLineChars="35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99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次）</w:t>
            </w:r>
          </w:p>
          <w:p>
            <w:pPr>
              <w:tabs>
                <w:tab w:val="left" w:pos="3467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 xml:space="preserve">5. 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独著《社会基础变迁与部门法分立格局的现代发展》，《法学家》2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021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年第1期</w:t>
            </w:r>
          </w:p>
          <w:p>
            <w:pPr>
              <w:tabs>
                <w:tab w:val="left" w:pos="3467"/>
              </w:tabs>
              <w:snapToGrid w:val="0"/>
              <w:spacing w:line="276" w:lineRule="auto"/>
              <w:ind w:firstLine="843" w:firstLineChars="35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31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次）</w:t>
            </w:r>
          </w:p>
          <w:p>
            <w:pPr>
              <w:tabs>
                <w:tab w:val="left" w:pos="3467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6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独著《网络干扰行为的竞争法规制》，《法商研究》2017年第4期</w:t>
            </w:r>
          </w:p>
          <w:p>
            <w:pPr>
              <w:tabs>
                <w:tab w:val="left" w:pos="3467"/>
              </w:tabs>
              <w:snapToGrid w:val="0"/>
              <w:spacing w:line="276" w:lineRule="auto"/>
              <w:ind w:firstLine="843" w:firstLineChars="35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（被引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155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次）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 xml:space="preserve">7. 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独著《回应商业模式创新的市场规制理论》，《环球法律评论》2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022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年第4期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 xml:space="preserve">8. 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独著《风险立法的公私法融合与体系化构造》，《法商研究》2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021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年第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3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期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 xml:space="preserve">9. 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独著《食品安全标准的私法效力及其矫正》，《清华法学》2017年第2期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10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.独著《文化产品致害的归责基础与制度构造》，《法律科学》2015年第6期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11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.独著《新生权利的经济解释与法律配置》，《现代法学》2017年第1期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12.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独著《网络市场规制的三种模式及其适用原理》</w:t>
            </w:r>
            <w:bookmarkStart w:id="0" w:name="_GoBack"/>
            <w:bookmarkEnd w:id="0"/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，《法学》2018年第10期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13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.独著《广告代言的法律解释论》，《法学》2016年第9期。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4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.独著《个人信息的私法保护模式研究》，《比较法研究》2019年第2期。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.独著《经济政策对法院裁判思路的影响》，《法制与社会发展》2013年第5期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6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.独著《竞价排名服务中网络关键词审查义务研究》，《法学家》2013年第4期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7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.独著《市场规制中的执法权冲突及其解决路径》，《法律科学》2012年第4期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8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.独著《论公共规制中的路径选择》，《法商研究》2012年第3期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19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.独著《广告管制规范在契约法上的效力》，《华东政法大学学报》2011年第3期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20.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独著《新权利的生成》，《法制与社会发展》2010年第3期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21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.独著《公共政策如何进入裁判过程》，《法商研究》2009年第6期</w:t>
            </w:r>
          </w:p>
          <w:p>
            <w:pPr>
              <w:tabs>
                <w:tab w:val="left" w:pos="4185"/>
              </w:tabs>
              <w:snapToGrid w:val="0"/>
              <w:spacing w:line="276" w:lineRule="auto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22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.独著《广告荐证人承担连带责任的司法认定》，《现代法学》2009年第5期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8" w:hRule="atLeast"/>
        </w:trPr>
        <w:tc>
          <w:tcPr>
            <w:tcW w:w="8755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8"/>
                <w:szCs w:val="28"/>
              </w:rPr>
              <w:t>一、国家级、省部级奖励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2020年 教育部“长江学者奖励计划”青年学者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2022年 江苏省第十七届哲学社会科学优秀成果 一等奖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2018年 江苏省第十五届哲学社会科学优秀成果 一等奖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2020年 江苏省第十六届哲学社会科学优秀成果 二等奖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2021年 第三届江苏省新闻出版政府奖（本人排名2/4）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2015年 中国环保部、中国法学会“生态环境法治保障”征文 一等奖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2010年 中国教育部 第一届博士生学术新人奖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2013年 江苏省优秀博士学位论文奖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8"/>
                <w:szCs w:val="28"/>
              </w:rPr>
              <w:t>二、中国法学会及其他奖励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2019年 中国法学会 第七届董必武青年法学成果奖 三等奖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2013年 中国法学会 第一届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董必武青年法学成果奖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 xml:space="preserve"> 提名奖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 xml:space="preserve">2016年 中国法学会 第十一届中国法学青年论坛 三等奖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2013年 中国法学会 第八届中国法学青年论坛 一等奖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2011年 中国法学会 第六届中国法学青年论坛 二等奖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2018年 中国法学会 经济法学研究会青年学者优秀论文 三等奖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2016年 中国法学会 经济法学研究会青年学者优秀论文 三等奖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2013年 中国法学会 经济法学研究会青年学者优秀论文 三等奖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2012年 中国法学会 经济法学研究会青年学者优秀论文 三等奖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2010年 中国法学会 经济法学研究会青年学者优秀论文 提名奖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2009年 中国法学会 经济法学研究会青年学者优秀论文 二等奖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2008年 中国法学会 经济法学研究会青年学者优秀论文 三等奖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2019年 江苏省社科优青（江苏省委宣传部颁发）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2016年 江苏省青蓝工程（江苏省教育厅颁发）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2015年 江苏省社科应用研究精品工程奖 一等奖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2019年 中国人民大学复印报刊资料重要转载来源作者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2020年 南京大学第十六届“我最喜爱的老师”称号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2022年 南京大学法学院优秀共产党员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659" w:leftChars="314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2018年 南京大学优秀青年教师奖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B0604020202020204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3183B"/>
    <w:rsid w:val="00062030"/>
    <w:rsid w:val="000E4DA8"/>
    <w:rsid w:val="000F7CAB"/>
    <w:rsid w:val="001503DC"/>
    <w:rsid w:val="0015262B"/>
    <w:rsid w:val="001878C3"/>
    <w:rsid w:val="001C7C9B"/>
    <w:rsid w:val="001D1DB5"/>
    <w:rsid w:val="001E4210"/>
    <w:rsid w:val="001F4E7B"/>
    <w:rsid w:val="00224B7E"/>
    <w:rsid w:val="00232760"/>
    <w:rsid w:val="0025292E"/>
    <w:rsid w:val="002E3D31"/>
    <w:rsid w:val="002E40CA"/>
    <w:rsid w:val="002F0DAF"/>
    <w:rsid w:val="0030560B"/>
    <w:rsid w:val="003170EC"/>
    <w:rsid w:val="0036283D"/>
    <w:rsid w:val="00413451"/>
    <w:rsid w:val="00417F1F"/>
    <w:rsid w:val="0043425A"/>
    <w:rsid w:val="00460F02"/>
    <w:rsid w:val="00474B26"/>
    <w:rsid w:val="004B52BE"/>
    <w:rsid w:val="004E57DB"/>
    <w:rsid w:val="004F087B"/>
    <w:rsid w:val="0052358C"/>
    <w:rsid w:val="0054058C"/>
    <w:rsid w:val="00542D98"/>
    <w:rsid w:val="00545124"/>
    <w:rsid w:val="00574742"/>
    <w:rsid w:val="00592DB9"/>
    <w:rsid w:val="005C2AB3"/>
    <w:rsid w:val="005D216F"/>
    <w:rsid w:val="006A4004"/>
    <w:rsid w:val="006C3647"/>
    <w:rsid w:val="006C5565"/>
    <w:rsid w:val="0072783C"/>
    <w:rsid w:val="0073206A"/>
    <w:rsid w:val="00772986"/>
    <w:rsid w:val="007B2DDF"/>
    <w:rsid w:val="007C4184"/>
    <w:rsid w:val="007C768A"/>
    <w:rsid w:val="008206C4"/>
    <w:rsid w:val="008228DA"/>
    <w:rsid w:val="00824C90"/>
    <w:rsid w:val="008776C0"/>
    <w:rsid w:val="00882503"/>
    <w:rsid w:val="008D22A9"/>
    <w:rsid w:val="008D2627"/>
    <w:rsid w:val="00900A11"/>
    <w:rsid w:val="00963440"/>
    <w:rsid w:val="00971CF4"/>
    <w:rsid w:val="009B2033"/>
    <w:rsid w:val="009F0990"/>
    <w:rsid w:val="00A204CC"/>
    <w:rsid w:val="00A33069"/>
    <w:rsid w:val="00A44D89"/>
    <w:rsid w:val="00A51C60"/>
    <w:rsid w:val="00AB7DD4"/>
    <w:rsid w:val="00B26099"/>
    <w:rsid w:val="00B70345"/>
    <w:rsid w:val="00B73F42"/>
    <w:rsid w:val="00BE00C8"/>
    <w:rsid w:val="00C3137C"/>
    <w:rsid w:val="00C712BC"/>
    <w:rsid w:val="00C77273"/>
    <w:rsid w:val="00C94C51"/>
    <w:rsid w:val="00CC4DDA"/>
    <w:rsid w:val="00D00067"/>
    <w:rsid w:val="00D125E7"/>
    <w:rsid w:val="00D76C1F"/>
    <w:rsid w:val="00DB08F2"/>
    <w:rsid w:val="00DF7252"/>
    <w:rsid w:val="00E97398"/>
    <w:rsid w:val="00EA2944"/>
    <w:rsid w:val="00EA5D0B"/>
    <w:rsid w:val="00ED30C4"/>
    <w:rsid w:val="00ED5D1A"/>
    <w:rsid w:val="00ED6839"/>
    <w:rsid w:val="00EE3AFB"/>
    <w:rsid w:val="00F00101"/>
    <w:rsid w:val="00F72854"/>
    <w:rsid w:val="00F87B6B"/>
    <w:rsid w:val="00F97488"/>
    <w:rsid w:val="00FB06D9"/>
    <w:rsid w:val="00FD5F22"/>
    <w:rsid w:val="00FF2FE5"/>
    <w:rsid w:val="19A632F0"/>
    <w:rsid w:val="1EBD9178"/>
    <w:rsid w:val="2CEFB339"/>
    <w:rsid w:val="2EFBBC48"/>
    <w:rsid w:val="3B9D0C2F"/>
    <w:rsid w:val="3BBF1B45"/>
    <w:rsid w:val="3DFF8C80"/>
    <w:rsid w:val="3F5F62A3"/>
    <w:rsid w:val="3FAC72FC"/>
    <w:rsid w:val="3FDF6C0E"/>
    <w:rsid w:val="3FE95ABC"/>
    <w:rsid w:val="4BEF6700"/>
    <w:rsid w:val="56EEFD7E"/>
    <w:rsid w:val="56FB6509"/>
    <w:rsid w:val="57B74E1B"/>
    <w:rsid w:val="591FD8F5"/>
    <w:rsid w:val="5AAC40BB"/>
    <w:rsid w:val="5B893497"/>
    <w:rsid w:val="5DD32290"/>
    <w:rsid w:val="5DF46E1D"/>
    <w:rsid w:val="5DFEE7D4"/>
    <w:rsid w:val="5F3743E3"/>
    <w:rsid w:val="5FBC2178"/>
    <w:rsid w:val="6D47E488"/>
    <w:rsid w:val="6DFBC501"/>
    <w:rsid w:val="6F9B4CF3"/>
    <w:rsid w:val="6FAF0381"/>
    <w:rsid w:val="6FFF2EC6"/>
    <w:rsid w:val="75EE6F73"/>
    <w:rsid w:val="7A8FFAC6"/>
    <w:rsid w:val="7AFB59A5"/>
    <w:rsid w:val="7AFE86AF"/>
    <w:rsid w:val="7BDFCBFF"/>
    <w:rsid w:val="7CA79CCE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D76DC8D"/>
    <w:rsid w:val="DE7F24A6"/>
    <w:rsid w:val="ED661AE8"/>
    <w:rsid w:val="EDFF9236"/>
    <w:rsid w:val="EECAC72B"/>
    <w:rsid w:val="EEFDCF1B"/>
    <w:rsid w:val="EF358C7A"/>
    <w:rsid w:val="EFBFEC5E"/>
    <w:rsid w:val="F2715785"/>
    <w:rsid w:val="F3D759E3"/>
    <w:rsid w:val="F7AF7DD2"/>
    <w:rsid w:val="FAFBA160"/>
    <w:rsid w:val="FBDBA10B"/>
    <w:rsid w:val="FBEF4225"/>
    <w:rsid w:val="FBF77622"/>
    <w:rsid w:val="FDEDDC02"/>
    <w:rsid w:val="FE7F89ED"/>
    <w:rsid w:val="FF6D7F3E"/>
    <w:rsid w:val="FFA992F7"/>
    <w:rsid w:val="FFAD001C"/>
    <w:rsid w:val="FFBF67D3"/>
    <w:rsid w:val="FFD77033"/>
    <w:rsid w:val="FFDF0FB2"/>
    <w:rsid w:val="FF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rFonts w:ascii="宋体"/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_Style 6"/>
    <w:basedOn w:val="1"/>
    <w:next w:val="10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标题 3 字符"/>
    <w:basedOn w:val="7"/>
    <w:link w:val="2"/>
    <w:semiHidden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_Style 11"/>
    <w:basedOn w:val="1"/>
    <w:next w:val="10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批注框文本 字符"/>
    <w:basedOn w:val="7"/>
    <w:link w:val="4"/>
    <w:qFormat/>
    <w:uiPriority w:val="0"/>
    <w:rPr>
      <w:rFonts w:ascii="宋体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6159</Words>
  <Characters>6916</Characters>
  <Lines>162</Lines>
  <Paragraphs>42</Paragraphs>
  <TotalTime>73</TotalTime>
  <ScaleCrop>false</ScaleCrop>
  <LinksUpToDate>false</LinksUpToDate>
  <CharactersWithSpaces>7146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2023-02-16T17:08:00Z</dcterms:created>
  <dc:creator>fxhuser</dc:creator>
  <cp:lastModifiedBy>fxhuser</cp:lastModifiedBy>
  <cp:lastPrinted>2023-02-16T17:08:00Z</cp:lastPrinted>
  <dcterms:modified xsi:type="dcterms:W3CDTF">2023-04-28T16:58:47Z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66BD4988897312683DF04464BBE57401_42</vt:lpwstr>
  </property>
</Properties>
</file>