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color w:val="000000"/>
          <w:sz w:val="32"/>
          <w:szCs w:val="32"/>
          <w:lang w:val="en"/>
        </w:rPr>
      </w:pPr>
      <w:r>
        <w:rPr>
          <w:rFonts w:hint="eastAsia" w:eastAsia="黑体"/>
          <w:color w:val="000000"/>
          <w:sz w:val="32"/>
          <w:szCs w:val="32"/>
        </w:rPr>
        <w:t>附件2</w:t>
      </w:r>
      <w:r>
        <w:rPr>
          <w:rFonts w:eastAsia="黑体"/>
          <w:color w:val="000000"/>
          <w:sz w:val="32"/>
          <w:szCs w:val="32"/>
          <w:lang w:val="en"/>
        </w:rPr>
        <w:t>：</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2"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蔡 科 云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新 疆 大 学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eastAsia="zh-CN"/>
        </w:rPr>
        <w:t>新疆大学法学院</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pPr>
    </w:p>
    <w:p>
      <w:pPr>
        <w:rPr>
          <w:rFonts w:ascii="宋体" w:hAnsi="宋体"/>
          <w:b/>
          <w:bCs/>
          <w:color w:val="000000"/>
          <w:sz w:val="24"/>
        </w:rPr>
      </w:pPr>
    </w:p>
    <w:p>
      <w:pPr>
        <w:rPr>
          <w:rFonts w:ascii="宋体" w:hAnsi="宋体"/>
          <w:b/>
          <w:bCs/>
          <w:color w:val="000000"/>
          <w:sz w:val="24"/>
        </w:rPr>
      </w:pPr>
    </w:p>
    <w:tbl>
      <w:tblPr>
        <w:tblStyle w:val="4"/>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蔡科云</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b/>
                <w:color w:val="000000"/>
                <w:sz w:val="24"/>
              </w:rPr>
              <w:drawing>
                <wp:anchor distT="0" distB="0" distL="114300" distR="114300" simplePos="0" relativeHeight="251659264" behindDoc="0" locked="0" layoutInCell="1" allowOverlap="1">
                  <wp:simplePos x="0" y="0"/>
                  <wp:positionH relativeFrom="character">
                    <wp:posOffset>-601345</wp:posOffset>
                  </wp:positionH>
                  <wp:positionV relativeFrom="paragraph">
                    <wp:posOffset>1905</wp:posOffset>
                  </wp:positionV>
                  <wp:extent cx="1179195" cy="1651000"/>
                  <wp:effectExtent l="0" t="0" r="1905" b="6350"/>
                  <wp:wrapNone/>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1179195" cy="1651000"/>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1</w:t>
            </w:r>
            <w:r>
              <w:rPr>
                <w:rFonts w:ascii="宋体" w:hAnsi="宋体"/>
                <w:b/>
                <w:color w:val="000000"/>
                <w:sz w:val="24"/>
              </w:rPr>
              <w:t>978.8.15</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新疆大学法学院</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乌鲁木齐天山区胜利路666号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spacing w:before="156" w:beforeLines="50" w:line="440" w:lineRule="exact"/>
              <w:ind w:firstLine="560" w:firstLineChars="200"/>
              <w:jc w:val="left"/>
              <w:rPr>
                <w:rFonts w:ascii="楷体" w:hAnsi="楷体" w:eastAsia="楷体" w:cs="楷体"/>
                <w:sz w:val="28"/>
                <w:szCs w:val="28"/>
                <w:lang w:eastAsia="zh-Hans"/>
              </w:rPr>
            </w:pPr>
            <w:r>
              <w:rPr>
                <w:rFonts w:hint="eastAsia" w:ascii="楷体" w:hAnsi="楷体" w:eastAsia="楷体" w:cs="楷体"/>
                <w:sz w:val="28"/>
                <w:szCs w:val="28"/>
                <w:lang w:eastAsia="zh-Hans"/>
              </w:rPr>
              <w:t>专著：</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中国慈善募捐法制建设（独著），北京：中国社会科学出版社2017年12月出版（30.4万字，</w:t>
            </w:r>
            <w:r>
              <w:rPr>
                <w:rFonts w:hint="eastAsia" w:ascii="宋体" w:hAnsi="宋体"/>
                <w:b/>
                <w:color w:val="000000"/>
                <w:sz w:val="24"/>
              </w:rPr>
              <w:t>代表性著作</w:t>
            </w:r>
            <w:r>
              <w:rPr>
                <w:rFonts w:hint="eastAsia" w:ascii="仿宋_GB2312" w:hAnsi="宋体" w:eastAsia="仿宋_GB2312"/>
                <w:b/>
                <w:color w:val="000000"/>
                <w:sz w:val="24"/>
              </w:rPr>
              <w:t>，</w:t>
            </w:r>
            <w:r>
              <w:rPr>
                <w:rFonts w:hint="eastAsia" w:ascii="仿宋_GB2312" w:hAnsi="宋体" w:eastAsia="仿宋_GB2312"/>
                <w:bCs/>
                <w:color w:val="000000"/>
                <w:sz w:val="24"/>
              </w:rPr>
              <w:t>被引16次）</w:t>
            </w:r>
          </w:p>
          <w:p>
            <w:pPr>
              <w:tabs>
                <w:tab w:val="left" w:pos="4185"/>
              </w:tabs>
              <w:snapToGrid w:val="0"/>
              <w:spacing w:before="156" w:beforeLines="50" w:line="440" w:lineRule="exact"/>
              <w:ind w:firstLine="560" w:firstLineChars="200"/>
              <w:jc w:val="left"/>
              <w:rPr>
                <w:rFonts w:ascii="楷体" w:hAnsi="楷体" w:eastAsia="楷体" w:cs="楷体"/>
                <w:sz w:val="28"/>
                <w:szCs w:val="28"/>
                <w:lang w:eastAsia="zh-Hans"/>
              </w:rPr>
            </w:pPr>
            <w:r>
              <w:rPr>
                <w:rFonts w:hint="eastAsia" w:ascii="楷体" w:hAnsi="楷体" w:eastAsia="楷体" w:cs="楷体"/>
                <w:sz w:val="28"/>
                <w:szCs w:val="28"/>
                <w:lang w:eastAsia="zh-Hans"/>
              </w:rPr>
              <w:t>主要论文：</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我国商品房预售制度的存与废，排名第二，载《法学评论》2008年第1期。（被引80次）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论我国公司法的时代局限与机制突破，排名第二，载《中南财经政法大学学报》2003年第6期。（被引3次）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我国的劣势群体问题与法律对策，独撰，载《湖北大学学报》2006年第5期。（被引13次）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论政府与社会组织的合作扶贫及法律治理，独撰，载《国家行政学院学报》2013年第2期。（被引49次）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胡适的新文化知性与民主政道，独撰，载《湖北大学学报》2013年第1期。（被引2次）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从倾斜到平衡：我国城乡规划法治的现在时态与未来期待，独撰，载《华中科技大学学报》2013年第3期。（被引5次）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政府与社会组织合作扶贫的权力模式与推进方式，独撰，载《中国行政管理》2014年第9期。该文被人大复印报刊资料全文转载《公共行政》2015年第1期。（</w:t>
            </w:r>
            <w:r>
              <w:rPr>
                <w:rFonts w:hint="eastAsia" w:ascii="宋体" w:hAnsi="宋体"/>
                <w:b/>
                <w:color w:val="000000"/>
                <w:sz w:val="24"/>
              </w:rPr>
              <w:t>代表性论文</w:t>
            </w:r>
            <w:r>
              <w:rPr>
                <w:rFonts w:hint="eastAsia" w:ascii="仿宋_GB2312" w:hAnsi="宋体" w:eastAsia="仿宋_GB2312"/>
                <w:b/>
                <w:color w:val="000000"/>
                <w:sz w:val="24"/>
              </w:rPr>
              <w:t>，</w:t>
            </w:r>
            <w:r>
              <w:rPr>
                <w:rFonts w:hint="eastAsia" w:ascii="仿宋_GB2312" w:hAnsi="宋体" w:eastAsia="仿宋_GB2312"/>
                <w:bCs/>
                <w:color w:val="000000"/>
                <w:sz w:val="24"/>
              </w:rPr>
              <w:t>被引157次）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为人民主体地位护航，独撰，载《中国教育报》理论版2014年12月12日。（被引5次）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农村村民环境态度与环保行为研究——基于湖北部分农村居民的问卷调查，第一，载《湖北行政学院学报》2015年第3期。（被引11次）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我国家庭农场的商事人格与商事信用论，独撰，载《湖北大学学报(哲学社会科学版)》2018年第2期。（被引9次）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社会组织募捐行为的慈善法塑造:以过程控制为视角，独撰，载《学习与实践》2019年第10期。（被引4次）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德法兼修式法学教育与传统书院精神的契合与对接，排名第一，载《法学教育研究》2019年2期。（被引4次）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综合执法下沉基层的整体性治理研究，排名第一，载《湖北警官学院学报》2019年第6期。（被引19次）</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“学院—书院对接”视域下法律高端领军人才培养机制探讨，排名第一，载《中国法学教育年刊》（2019·第七卷），法律出版社2020年12月出版。（</w:t>
            </w:r>
            <w:r>
              <w:rPr>
                <w:rFonts w:hint="eastAsia" w:ascii="宋体" w:hAnsi="宋体"/>
                <w:b/>
                <w:color w:val="000000"/>
                <w:sz w:val="24"/>
              </w:rPr>
              <w:t>代表性论文</w:t>
            </w:r>
            <w:r>
              <w:rPr>
                <w:rFonts w:hint="eastAsia" w:ascii="仿宋_GB2312" w:hAnsi="宋体" w:eastAsia="仿宋_GB2312"/>
                <w:b/>
                <w:color w:val="000000"/>
                <w:sz w:val="24"/>
              </w:rPr>
              <w:t>）</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论我国小商贩营商资格登记之分层，排名第一，载《河南财经政法大学学报》2020年第5期。（被引4次）</w:t>
            </w:r>
          </w:p>
          <w:p>
            <w:pPr>
              <w:spacing w:after="156" w:afterLines="50"/>
              <w:ind w:firstLine="480" w:firstLineChars="200"/>
              <w:rPr>
                <w:rFonts w:ascii="楷体_GB2312" w:hAnsi="楷体" w:eastAsia="楷体_GB2312"/>
                <w:b/>
                <w:color w:val="000000"/>
                <w:sz w:val="24"/>
              </w:rPr>
            </w:pPr>
            <w:r>
              <w:rPr>
                <w:rFonts w:hint="eastAsia" w:ascii="仿宋_GB2312" w:hAnsi="宋体" w:eastAsia="仿宋_GB2312"/>
                <w:bCs/>
                <w:color w:val="000000"/>
                <w:sz w:val="24"/>
              </w:rPr>
              <w:t>民营经济高质量发展的法治支撑体系论，独撰，载《晋阳学刊》2022年第1期，该文被《高等学校文科学术文摘》2022年第2期卡片转载。（</w:t>
            </w:r>
            <w:r>
              <w:rPr>
                <w:rFonts w:hint="eastAsia" w:ascii="宋体" w:hAnsi="宋体"/>
                <w:b/>
                <w:color w:val="000000"/>
                <w:sz w:val="24"/>
              </w:rPr>
              <w:t>代表性论文</w:t>
            </w:r>
            <w:r>
              <w:rPr>
                <w:rFonts w:hint="eastAsia" w:ascii="仿宋_GB2312" w:hAnsi="宋体" w:eastAsia="仿宋_GB2312"/>
                <w:b/>
                <w:color w:val="000000"/>
                <w:sz w:val="24"/>
              </w:rPr>
              <w:t>，</w:t>
            </w:r>
            <w:r>
              <w:rPr>
                <w:rFonts w:hint="eastAsia" w:ascii="仿宋_GB2312" w:hAnsi="宋体" w:eastAsia="仿宋_GB2312"/>
                <w:bCs/>
                <w:color w:val="000000"/>
                <w:sz w:val="24"/>
              </w:rPr>
              <w:t>被引2次）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cs="Arial"/>
                <w:kern w:val="0"/>
                <w:sz w:val="32"/>
                <w:szCs w:val="32"/>
              </w:rPr>
            </w:pP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2016</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12</w:t>
            </w:r>
            <w:r>
              <w:rPr>
                <w:rFonts w:hint="eastAsia" w:ascii="仿宋_GB2312" w:hAnsi="宋体" w:eastAsia="仿宋_GB2312"/>
                <w:bCs/>
                <w:color w:val="000000"/>
                <w:sz w:val="30"/>
                <w:szCs w:val="30"/>
              </w:rPr>
              <w:t>月，主持团队调研报告《我省农村生活垃圾治理的现状调查与法治保障研究》，获得湖北省人民政府颁发“湖北省发展研究奖”奖项</w:t>
            </w:r>
            <w:r>
              <w:rPr>
                <w:rFonts w:hint="eastAsia" w:ascii="宋体" w:hAnsi="宋体"/>
                <w:b/>
                <w:color w:val="000000"/>
                <w:sz w:val="30"/>
                <w:szCs w:val="30"/>
              </w:rPr>
              <w:t>（省级）</w:t>
            </w:r>
            <w:r>
              <w:rPr>
                <w:rFonts w:hint="eastAsia" w:ascii="仿宋_GB2312" w:hAnsi="宋体" w:eastAsia="仿宋_GB2312"/>
                <w:bCs/>
                <w:color w:val="000000"/>
                <w:sz w:val="30"/>
                <w:szCs w:val="30"/>
              </w:rPr>
              <w:t>，排名第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w:t>
            </w:r>
            <w:r>
              <w:rPr>
                <w:rFonts w:ascii="仿宋_GB2312" w:hAnsi="宋体" w:eastAsia="仿宋_GB2312"/>
                <w:bCs/>
                <w:color w:val="000000"/>
                <w:sz w:val="30"/>
                <w:szCs w:val="30"/>
              </w:rPr>
              <w:t>11</w:t>
            </w:r>
            <w:r>
              <w:rPr>
                <w:rFonts w:hint="eastAsia" w:ascii="仿宋_GB2312" w:hAnsi="宋体" w:eastAsia="仿宋_GB2312"/>
                <w:bCs/>
                <w:color w:val="000000"/>
                <w:sz w:val="30"/>
                <w:szCs w:val="30"/>
              </w:rPr>
              <w:t>月，科研论文《政府与社会组织合作扶贫的权力模式与推进方式》，获得武汉市第十五届优秀社会科学成果奖</w:t>
            </w:r>
            <w:r>
              <w:rPr>
                <w:rFonts w:hint="eastAsia" w:ascii="宋体" w:hAnsi="宋体"/>
                <w:b/>
                <w:color w:val="000000"/>
                <w:sz w:val="30"/>
                <w:szCs w:val="30"/>
              </w:rPr>
              <w:t>（省级）</w:t>
            </w:r>
            <w:r>
              <w:rPr>
                <w:rFonts w:hint="eastAsia" w:ascii="仿宋_GB2312" w:hAnsi="宋体" w:eastAsia="仿宋_GB2312"/>
                <w:bCs/>
                <w:color w:val="000000"/>
                <w:sz w:val="30"/>
                <w:szCs w:val="30"/>
              </w:rPr>
              <w:t>，排名第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2017年11月,科研论文《农业供给侧改革中家庭农场的实体法进路》，获中国法学会主办湖北省法学会承办第九届法治湖北论坛一等奖，排名第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2017年参加省委组织部关于开展“学习习近平总书记关于人才工作重要论述”理论研讨会征文，撰写《“领军人才”也要内强素质》作为遴选推荐的优秀文章，报送组织部。</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2013年5月</w:t>
            </w:r>
            <w:r>
              <w:rPr>
                <w:rFonts w:hint="eastAsia" w:ascii="仿宋_GB2312" w:hAnsi="宋体" w:eastAsia="仿宋_GB2312"/>
                <w:bCs/>
                <w:color w:val="000000"/>
                <w:sz w:val="30"/>
                <w:szCs w:val="30"/>
              </w:rPr>
              <w:t>，教学成果《“学、用、演”并举——商法学实践教学综合改革与实践》，</w:t>
            </w:r>
            <w:r>
              <w:rPr>
                <w:rFonts w:ascii="仿宋_GB2312" w:hAnsi="宋体" w:eastAsia="仿宋_GB2312"/>
                <w:bCs/>
                <w:color w:val="000000"/>
                <w:sz w:val="30"/>
                <w:szCs w:val="30"/>
              </w:rPr>
              <w:t>获教学成果奖二等奖</w:t>
            </w:r>
            <w:r>
              <w:rPr>
                <w:rFonts w:hint="eastAsia" w:ascii="仿宋_GB2312" w:hAnsi="宋体" w:eastAsia="仿宋_GB2312"/>
                <w:bCs/>
                <w:color w:val="000000"/>
                <w:sz w:val="30"/>
                <w:szCs w:val="30"/>
              </w:rPr>
              <w:t>（厅局级），排名第</w:t>
            </w:r>
            <w:r>
              <w:rPr>
                <w:rFonts w:ascii="仿宋_GB2312" w:hAnsi="宋体" w:eastAsia="仿宋_GB2312"/>
                <w:bCs/>
                <w:color w:val="000000"/>
                <w:sz w:val="30"/>
                <w:szCs w:val="30"/>
              </w:rPr>
              <w:t>1。</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2016</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12</w:t>
            </w:r>
            <w:r>
              <w:rPr>
                <w:rFonts w:hint="eastAsia" w:ascii="仿宋_GB2312" w:hAnsi="宋体" w:eastAsia="仿宋_GB2312"/>
                <w:bCs/>
                <w:color w:val="000000"/>
                <w:sz w:val="30"/>
                <w:szCs w:val="30"/>
              </w:rPr>
              <w:t>月，教学成果《法学专业“三五”人才培养模式的探索与实践》获省教学成果奖二等奖（省级），排名第</w:t>
            </w:r>
            <w:r>
              <w:rPr>
                <w:rFonts w:ascii="仿宋_GB2312" w:hAnsi="宋体" w:eastAsia="仿宋_GB2312"/>
                <w:bCs/>
                <w:color w:val="000000"/>
                <w:sz w:val="30"/>
                <w:szCs w:val="30"/>
              </w:rPr>
              <w:t>7</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2017</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11</w:t>
            </w:r>
            <w:r>
              <w:rPr>
                <w:rFonts w:hint="eastAsia" w:ascii="仿宋_GB2312" w:hAnsi="宋体" w:eastAsia="仿宋_GB2312"/>
                <w:bCs/>
                <w:color w:val="000000"/>
                <w:sz w:val="30"/>
                <w:szCs w:val="30"/>
              </w:rPr>
              <w:t>月，科研论文《农业供给侧改革中家庭农场的实体法进路》，获中国法学会主办湖北省法学会承办第九届法治湖北论坛一等奖，排名第1。</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2019年1</w:t>
            </w:r>
            <w:r>
              <w:rPr>
                <w:rFonts w:ascii="仿宋_GB2312" w:hAnsi="宋体" w:eastAsia="仿宋_GB2312"/>
                <w:bCs/>
                <w:color w:val="000000"/>
                <w:sz w:val="30"/>
                <w:szCs w:val="30"/>
              </w:rPr>
              <w:t>1</w:t>
            </w:r>
            <w:r>
              <w:rPr>
                <w:rFonts w:hint="eastAsia" w:ascii="仿宋_GB2312" w:hAnsi="宋体" w:eastAsia="仿宋_GB2312"/>
                <w:bCs/>
                <w:color w:val="000000"/>
                <w:sz w:val="30"/>
                <w:szCs w:val="30"/>
              </w:rPr>
              <w:t>月，科研论文《基于发展理念的民营企业法治支撑体系研究》，获中国法学会指导，湖北、山西、河南、安徽、江西、湖南六省法学会共同主办的第十二届中部崛起法治论坛一等奖，排名第</w:t>
            </w:r>
            <w:r>
              <w:rPr>
                <w:rFonts w:ascii="仿宋_GB2312" w:hAnsi="宋体" w:eastAsia="仿宋_GB2312"/>
                <w:bCs/>
                <w:color w:val="000000"/>
                <w:sz w:val="30"/>
                <w:szCs w:val="30"/>
              </w:rPr>
              <w:t>2</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2022年6月，科研论文《全面依法治疆“坚持以人民为中心”的内源与外力》，获新疆维吾尔自治区社会科学联合会第十九届新疆社会科学界学术年会优秀奖，排名第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bookmarkStart w:id="0" w:name="_GoBack"/>
            <w:bookmarkEnd w:id="0"/>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jc w:val="left"/>
              <w:rPr>
                <w:rFonts w:cs="Arial"/>
                <w:kern w:val="0"/>
                <w:sz w:val="32"/>
                <w:szCs w:val="32"/>
              </w:rPr>
            </w:pPr>
          </w:p>
        </w:tc>
      </w:tr>
    </w:tbl>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087D"/>
    <w:rsid w:val="00017F47"/>
    <w:rsid w:val="00020006"/>
    <w:rsid w:val="00030BEF"/>
    <w:rsid w:val="000530AF"/>
    <w:rsid w:val="0007239D"/>
    <w:rsid w:val="00074F59"/>
    <w:rsid w:val="00086F5A"/>
    <w:rsid w:val="00087D3B"/>
    <w:rsid w:val="000E610E"/>
    <w:rsid w:val="00100316"/>
    <w:rsid w:val="00102F8D"/>
    <w:rsid w:val="00103073"/>
    <w:rsid w:val="00107865"/>
    <w:rsid w:val="00111F34"/>
    <w:rsid w:val="00124248"/>
    <w:rsid w:val="0012640C"/>
    <w:rsid w:val="001338E1"/>
    <w:rsid w:val="001539CD"/>
    <w:rsid w:val="00170D32"/>
    <w:rsid w:val="00192E02"/>
    <w:rsid w:val="001A2B0B"/>
    <w:rsid w:val="001B30F0"/>
    <w:rsid w:val="001B3509"/>
    <w:rsid w:val="001B7228"/>
    <w:rsid w:val="001D5342"/>
    <w:rsid w:val="001F108E"/>
    <w:rsid w:val="00211D15"/>
    <w:rsid w:val="00220D03"/>
    <w:rsid w:val="00224106"/>
    <w:rsid w:val="0022691A"/>
    <w:rsid w:val="00233101"/>
    <w:rsid w:val="00235CAE"/>
    <w:rsid w:val="00244B1B"/>
    <w:rsid w:val="00250A7E"/>
    <w:rsid w:val="002819B2"/>
    <w:rsid w:val="002A2CEE"/>
    <w:rsid w:val="002A42A2"/>
    <w:rsid w:val="002A7709"/>
    <w:rsid w:val="002B354E"/>
    <w:rsid w:val="002C76D9"/>
    <w:rsid w:val="002D3DC6"/>
    <w:rsid w:val="002E487B"/>
    <w:rsid w:val="00314053"/>
    <w:rsid w:val="003337D8"/>
    <w:rsid w:val="00341A2B"/>
    <w:rsid w:val="003464F2"/>
    <w:rsid w:val="0036433F"/>
    <w:rsid w:val="00394591"/>
    <w:rsid w:val="003A12B8"/>
    <w:rsid w:val="003F6DBA"/>
    <w:rsid w:val="004134C7"/>
    <w:rsid w:val="00431FCA"/>
    <w:rsid w:val="00466AA0"/>
    <w:rsid w:val="00475918"/>
    <w:rsid w:val="00480062"/>
    <w:rsid w:val="004811CD"/>
    <w:rsid w:val="004861C4"/>
    <w:rsid w:val="0049235B"/>
    <w:rsid w:val="00495CC1"/>
    <w:rsid w:val="004B1717"/>
    <w:rsid w:val="004D4EC7"/>
    <w:rsid w:val="0052358C"/>
    <w:rsid w:val="00574ACD"/>
    <w:rsid w:val="00580835"/>
    <w:rsid w:val="00585D83"/>
    <w:rsid w:val="00597AC6"/>
    <w:rsid w:val="005B3837"/>
    <w:rsid w:val="005B39A2"/>
    <w:rsid w:val="005D6F76"/>
    <w:rsid w:val="005F5A73"/>
    <w:rsid w:val="0061772C"/>
    <w:rsid w:val="00643DDC"/>
    <w:rsid w:val="00686A22"/>
    <w:rsid w:val="006973DA"/>
    <w:rsid w:val="006A7221"/>
    <w:rsid w:val="006E040A"/>
    <w:rsid w:val="006E067C"/>
    <w:rsid w:val="006E3B0F"/>
    <w:rsid w:val="006F1CA8"/>
    <w:rsid w:val="006F2B34"/>
    <w:rsid w:val="006F6943"/>
    <w:rsid w:val="00723A27"/>
    <w:rsid w:val="00734331"/>
    <w:rsid w:val="00740AD8"/>
    <w:rsid w:val="00746A88"/>
    <w:rsid w:val="0075365D"/>
    <w:rsid w:val="007550CA"/>
    <w:rsid w:val="007A0CB7"/>
    <w:rsid w:val="007A4341"/>
    <w:rsid w:val="007A6441"/>
    <w:rsid w:val="007F55BE"/>
    <w:rsid w:val="0081400B"/>
    <w:rsid w:val="00871544"/>
    <w:rsid w:val="0087320F"/>
    <w:rsid w:val="00876F0A"/>
    <w:rsid w:val="008C0D3A"/>
    <w:rsid w:val="008C29B7"/>
    <w:rsid w:val="008E5298"/>
    <w:rsid w:val="008E6594"/>
    <w:rsid w:val="00963EC8"/>
    <w:rsid w:val="0098217D"/>
    <w:rsid w:val="00995976"/>
    <w:rsid w:val="00996885"/>
    <w:rsid w:val="009A022A"/>
    <w:rsid w:val="009A1BF1"/>
    <w:rsid w:val="009A4D1B"/>
    <w:rsid w:val="009B115E"/>
    <w:rsid w:val="00A169CB"/>
    <w:rsid w:val="00A7061B"/>
    <w:rsid w:val="00A81147"/>
    <w:rsid w:val="00A82151"/>
    <w:rsid w:val="00A859D8"/>
    <w:rsid w:val="00AA51E1"/>
    <w:rsid w:val="00AB6486"/>
    <w:rsid w:val="00AF0423"/>
    <w:rsid w:val="00AF3912"/>
    <w:rsid w:val="00B20081"/>
    <w:rsid w:val="00B66307"/>
    <w:rsid w:val="00B668CD"/>
    <w:rsid w:val="00B93A45"/>
    <w:rsid w:val="00BB64FE"/>
    <w:rsid w:val="00BC0A86"/>
    <w:rsid w:val="00C13EF0"/>
    <w:rsid w:val="00C647CC"/>
    <w:rsid w:val="00C8082C"/>
    <w:rsid w:val="00C93210"/>
    <w:rsid w:val="00CA1EE4"/>
    <w:rsid w:val="00CB49BA"/>
    <w:rsid w:val="00CC6664"/>
    <w:rsid w:val="00D17865"/>
    <w:rsid w:val="00D238E3"/>
    <w:rsid w:val="00D24F1A"/>
    <w:rsid w:val="00D729E5"/>
    <w:rsid w:val="00D77783"/>
    <w:rsid w:val="00D939C0"/>
    <w:rsid w:val="00DA1D0E"/>
    <w:rsid w:val="00DC4179"/>
    <w:rsid w:val="00DC7011"/>
    <w:rsid w:val="00DD0135"/>
    <w:rsid w:val="00DE1964"/>
    <w:rsid w:val="00E10A38"/>
    <w:rsid w:val="00E21A0B"/>
    <w:rsid w:val="00E24B2A"/>
    <w:rsid w:val="00E31E2A"/>
    <w:rsid w:val="00E45A0B"/>
    <w:rsid w:val="00E46D6B"/>
    <w:rsid w:val="00E609E4"/>
    <w:rsid w:val="00E62AAA"/>
    <w:rsid w:val="00E774E9"/>
    <w:rsid w:val="00E9448A"/>
    <w:rsid w:val="00ED3BA2"/>
    <w:rsid w:val="00EF5C8E"/>
    <w:rsid w:val="00F044F0"/>
    <w:rsid w:val="00F04F4E"/>
    <w:rsid w:val="00F07E53"/>
    <w:rsid w:val="00F10304"/>
    <w:rsid w:val="00F1619C"/>
    <w:rsid w:val="00F17322"/>
    <w:rsid w:val="00F413BF"/>
    <w:rsid w:val="00F456F5"/>
    <w:rsid w:val="00F476A6"/>
    <w:rsid w:val="00F5217E"/>
    <w:rsid w:val="00F8695B"/>
    <w:rsid w:val="00FA4236"/>
    <w:rsid w:val="00FB06D9"/>
    <w:rsid w:val="00FB14C7"/>
    <w:rsid w:val="00FC1DEC"/>
    <w:rsid w:val="00FC20DE"/>
    <w:rsid w:val="00FC3440"/>
    <w:rsid w:val="00FC3A0C"/>
    <w:rsid w:val="00FD2138"/>
    <w:rsid w:val="0AB93145"/>
    <w:rsid w:val="1EBD9178"/>
    <w:rsid w:val="2CEFB339"/>
    <w:rsid w:val="2EFBBC48"/>
    <w:rsid w:val="3B9D0C2F"/>
    <w:rsid w:val="3BBF1B45"/>
    <w:rsid w:val="3DFD2C26"/>
    <w:rsid w:val="3DFF8C80"/>
    <w:rsid w:val="3F5F2E86"/>
    <w:rsid w:val="3FAC72FC"/>
    <w:rsid w:val="3FDF6C0E"/>
    <w:rsid w:val="3FE95ABC"/>
    <w:rsid w:val="56EEFD7E"/>
    <w:rsid w:val="57B74E1B"/>
    <w:rsid w:val="591FD8F5"/>
    <w:rsid w:val="5AAC40BB"/>
    <w:rsid w:val="5DD32290"/>
    <w:rsid w:val="5DF46E1D"/>
    <w:rsid w:val="5DFEE7D4"/>
    <w:rsid w:val="5F3743E3"/>
    <w:rsid w:val="5FBC2178"/>
    <w:rsid w:val="6F9B4CF3"/>
    <w:rsid w:val="6FAF0381"/>
    <w:rsid w:val="6FFF2EC6"/>
    <w:rsid w:val="71F769A3"/>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A1BF2240"/>
    <w:rsid w:val="A7EB79A2"/>
    <w:rsid w:val="ABC2528A"/>
    <w:rsid w:val="ABFD3B40"/>
    <w:rsid w:val="AE8F304D"/>
    <w:rsid w:val="AFFF087D"/>
    <w:rsid w:val="B7D56515"/>
    <w:rsid w:val="B9EF54B5"/>
    <w:rsid w:val="BE3FDE16"/>
    <w:rsid w:val="BEFF65E4"/>
    <w:rsid w:val="BF6FC933"/>
    <w:rsid w:val="D7371D03"/>
    <w:rsid w:val="D7FE4373"/>
    <w:rsid w:val="DE7F24A6"/>
    <w:rsid w:val="EBB69D4B"/>
    <w:rsid w:val="ED661AE8"/>
    <w:rsid w:val="EDFF9236"/>
    <w:rsid w:val="EEFDCF1B"/>
    <w:rsid w:val="EF358C7A"/>
    <w:rsid w:val="EFBFEC5E"/>
    <w:rsid w:val="F2715785"/>
    <w:rsid w:val="F3D759E3"/>
    <w:rsid w:val="F4FBD8CA"/>
    <w:rsid w:val="F7AF7DD2"/>
    <w:rsid w:val="FAFBA160"/>
    <w:rsid w:val="FBBD5D09"/>
    <w:rsid w:val="FBDBA10B"/>
    <w:rsid w:val="FBF77622"/>
    <w:rsid w:val="FBFDB07F"/>
    <w:rsid w:val="FE7F89ED"/>
    <w:rsid w:val="FF6D7F3E"/>
    <w:rsid w:val="FF84CC9A"/>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995</Words>
  <Characters>5673</Characters>
  <Lines>47</Lines>
  <Paragraphs>13</Paragraphs>
  <TotalTime>1</TotalTime>
  <ScaleCrop>false</ScaleCrop>
  <LinksUpToDate>false</LinksUpToDate>
  <CharactersWithSpaces>6655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2022-12-29T19:44:00Z</dcterms:created>
  <dc:creator>fxhuser</dc:creator>
  <cp:lastModifiedBy>fxhuser</cp:lastModifiedBy>
  <cp:lastPrinted>2023-01-14T13:56:00Z</cp:lastPrinted>
  <dcterms:modified xsi:type="dcterms:W3CDTF">2023-04-27T16:58:19Z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73867CD4A0F04BC19E3E44A25C00B142</vt:lpwstr>
  </property>
</Properties>
</file>