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徐阳光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中国人民大学法学院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中国法学会财税法学研究会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徐阳光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108710" cy="1657985"/>
                  <wp:effectExtent l="0" t="0" r="8890" b="18415"/>
                  <wp:docPr id="1" name="图片 1" descr="徐阳光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徐阳光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739" b="4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1979.01.07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中国人民大学法学院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北京市海淀区中关村大街59号明德法学楼806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tabs>
                <w:tab w:val="left" w:pos="4185"/>
              </w:tabs>
              <w:snapToGrid w:val="0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徐阳光共计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发表论文70余篇，其中，在《中国法学》发文2篇，在《中国人民大学学报》发文3篇，在《中外法学》《清华法学》《法学家》《法商研究》《法学》《环球法律评论》《法学杂志》等CLSCI期刊发文7篇，在《光明日报》理论版发文1篇，其中10篇论文被《人大复印报刊资料》全文转载；共计出版学术著作7部（译著2部），包括国内第一部财政转移支付法的专著，国内第一部破产法与财税法交叉领域的专著；独立主持国家社科基金项目3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/>
              <w:ind w:firstLine="420" w:firstLineChars="200"/>
              <w:jc w:val="left"/>
              <w:textAlignment w:val="auto"/>
              <w:rPr>
                <w:rFonts w:hint="eastAsia" w:ascii="Calibri" w:hAnsi="Calibri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（一）代表性成果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eastAsia" w:ascii="Calibri" w:hAnsi="Calibri" w:eastAsia="宋体" w:cs="楷体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著作1：《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</w:rPr>
              <w:t>政府间财政关系之法治化研究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独著，法律出版社2016年版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</w:t>
            </w:r>
            <w:bookmarkStart w:id="0" w:name="OLE_LINK3"/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频次</w:t>
            </w:r>
            <w:bookmarkEnd w:id="0"/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: 31，总他引频次: 31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Calibri" w:hAnsi="Calibri" w:cs="宋体"/>
                <w:b w:val="0"/>
                <w:bCs/>
                <w:color w:val="000000"/>
                <w:sz w:val="21"/>
                <w:szCs w:val="21"/>
                <w:lang w:eastAsia="zh-CN"/>
              </w:rPr>
              <w:t>27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Hans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eastAsia" w:ascii="Calibri" w:hAnsi="Calibri" w:eastAsia="宋体" w:cs="楷体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著作2：《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财政转移支付制度的法学解析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》，独著，北京大学出版社2009年版（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总被引频次: 211， 总他引频次: 208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cs="宋体"/>
                <w:b w:val="0"/>
                <w:bCs/>
                <w:color w:val="000000"/>
                <w:sz w:val="21"/>
                <w:szCs w:val="21"/>
                <w:lang w:eastAsia="zh-CN"/>
              </w:rPr>
              <w:t>29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Hans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default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破产程序中的税法问题研究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独著，载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中国法学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》2018年第2期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总被引频次: 107，总他引频次: 107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2.1万字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default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：“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个人破产免责的理论基础与规范构建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中国法学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》2021年第4期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总被引频次: 37，总他引频次: 36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2.4万字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default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论文3：“</w:t>
            </w:r>
            <w:r>
              <w:rPr>
                <w:rFonts w:hint="eastAsia" w:ascii="Calibri" w:hAnsi="Calibri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民主与专业的平衡:税收法定原则的中国进路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eastAsia" w:ascii="Calibri" w:hAnsi="Calibri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中国人民大学学报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》2016年第3期（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总被引频次: 37，总他引频次: 37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 1.8万字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default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论文4：“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论关联企业实质合并破产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中外法学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》2017年第3期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总被引频次: 118， 总他引频次: 118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 2.1万字</w:t>
            </w:r>
          </w:p>
          <w:p>
            <w:pPr>
              <w:tabs>
                <w:tab w:val="left" w:pos="4185"/>
              </w:tabs>
              <w:snapToGrid w:val="0"/>
              <w:ind w:firstLine="420" w:firstLineChars="200"/>
              <w:jc w:val="both"/>
              <w:rPr>
                <w:rFonts w:hint="default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论文5：“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论建立事权与支出责任相适应的法律制度——理论基础与立法路径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清华法学</w:t>
            </w:r>
            <w:r>
              <w:rPr>
                <w:rFonts w:hint="eastAsia" w:ascii="Calibri" w:hAnsi="Calibri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》2014年第5期</w:t>
            </w:r>
            <w:r>
              <w:rPr>
                <w:rFonts w:hint="eastAsia" w:ascii="Calibri" w:hAnsi="Calibri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（总被引频次: 113，总他引频次: 112</w:t>
            </w:r>
            <w:r>
              <w:rPr>
                <w:rFonts w:hint="eastAsia" w:ascii="Calibri" w:hAnsi="Calibri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） 1.9万字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/>
              <w:ind w:firstLine="420" w:firstLineChars="200"/>
              <w:jc w:val="left"/>
              <w:textAlignment w:val="auto"/>
              <w:rPr>
                <w:rFonts w:hint="default" w:ascii="Calibri" w:hAnsi="Calibri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（二）其他成果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1.《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英国个人破产与债务清理制度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》，独著，法律出版社2020年版，29.8万字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2.《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破产法与税法的理念融合及制度衔接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》，第一作者，法律出版社2021年版，34.7万字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3.“个人债务救济与共同富裕目标的实现”，载《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光明日报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》2022年4月20日理论版（3017字）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4.“个人破产立法的理论逻辑与现实进路”，第一作者，载《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中国人民大学学报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》2021年第5期（2.2万字）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5.“破产法视野中的担保物权问题”，独著，载《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中国人民大学学报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》2017年第2期（1.8万字）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6.“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困境企业预重整的法律规制研究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default" w:ascii="Calibri" w:hAnsi="Calibri"/>
                <w:b/>
                <w:bCs/>
                <w:sz w:val="21"/>
                <w:szCs w:val="21"/>
                <w:lang w:val="en-US" w:eastAsia="zh-CN"/>
              </w:rPr>
              <w:t>法商研究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》2021年第3期（2.0万字）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7.“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立法机关参与预算过程的核心权力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default" w:ascii="Calibri" w:hAnsi="Calibri"/>
                <w:b/>
                <w:bCs/>
                <w:sz w:val="21"/>
                <w:szCs w:val="21"/>
                <w:lang w:val="en-US" w:eastAsia="zh-CN"/>
              </w:rPr>
              <w:t>法学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》2011年第11期（1万字）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8.“个人破产立法的英国经验与启示”，独著，载《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法学杂志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》2020年第7期（1.5万字）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9.“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财政转移支付法的公平正义理念解读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default" w:ascii="Calibri" w:hAnsi="Calibri"/>
                <w:b/>
                <w:bCs/>
                <w:sz w:val="21"/>
                <w:szCs w:val="21"/>
                <w:lang w:val="en-US" w:eastAsia="zh-CN"/>
              </w:rPr>
              <w:t>社会科学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》2008年第1期（1.4万字）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10.“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地方财政自主的法治保障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default" w:ascii="Calibri" w:hAnsi="Calibri"/>
                <w:b/>
                <w:bCs/>
                <w:sz w:val="21"/>
                <w:szCs w:val="21"/>
                <w:lang w:val="en-US" w:eastAsia="zh-CN"/>
              </w:rPr>
              <w:t>法学家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》2009年第2期（1.8万字）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11.“预算国家：财政法治的理想”，独著，载《</w:t>
            </w: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环球法律评论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》2009年第3期（1.6万字）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12.“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收入预测与预算法治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预决算收入偏差的法律评估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”，独著，载《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社会科学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》2011年第4期（1.5万字）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13.“房地产税制改革的立法考量”，独著，载《税务研究》2011年第4期（1.2万字）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14.“如何实现‘以支定收’——新《预算法》理财观解读”，独著，载《税务研究》2015年第1期（1.3万字）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15. “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企业拯救文化与破产法律制度的发展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基于英国破产制度最新变革的分析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，第一作者，载《山西大学学报（哲学社会科学版）》2021年第1期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（（1.4万字）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教育部国家级教学成果奖一等奖（2019）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北京市高等教育教学成果奖特等奖（2018）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中国人民大学“杰出学者”（青年学者A岗）（2017）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中国人民大学先进工作者（2011）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中国人民大学十佳班主任（2010）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中国人民大学专业学位研究生教学案例支持计划优秀立项项目（2019）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中国人民大学法学院本科课程教学优秀奖（2019）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中国人民大学法学院优秀法律硕士学位论文指导教师（2016）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中国人民大学法学院岳成奖教金获得者（2011、2014）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中国人民大学国际学院（苏州研究院）优秀工作者（2010）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  <w:t>中国人民大学法学院教学工作先进个人（2023）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  <w:t>中国人民大学法学院学生工作先进个人（2023）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default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  <w:t>中国人民大学法学院智库先进个人（2023）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第六届“董必武青年法学成果奖”提名奖（2018）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第三届首都法学优秀成果奖三等奖（2018）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首届法学博士后科研成果奖三等奖（2013）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北京高校青年英才计划（2013）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北京大学优秀博士后（2009）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北京市社会领域优秀共产党员（中共北京市委社工委 2016）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北京市法治宣传教育先进个人（北京市委全面依法治市委员会 2021）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北京市经济法学优秀成果奖（2011）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300"/>
              <w:jc w:val="left"/>
              <w:textAlignment w:val="auto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24"/>
                <w:szCs w:val="24"/>
              </w:rPr>
              <w:t>中国法学会财税法学研究会青年优秀论文一等奖（2009）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144FEE-3074-427D-83BC-54E69A28A1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782B16-BDC4-4E91-8FE3-206DD6624D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9B2A01B8-9D2D-48A4-8EA5-8F412ADBB2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518BFD-377F-461F-967A-43ED59AD8F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679B54F-0BE5-47AB-A3FF-91B3D80950F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2904870-9ED3-4EA0-B219-560A77E545F3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7" w:fontKey="{4EB47AB1-47D9-49B8-8801-63FD5516DB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B0811C53-3CA8-4407-989E-D7F8DBAF6FAE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9" w:fontKey="{278ECEEB-481B-4270-AF52-DEEDD2ED05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FAE72232-AD21-4076-A8A8-7579D98430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8D86417"/>
    <w:rsid w:val="11E37793"/>
    <w:rsid w:val="17FB5209"/>
    <w:rsid w:val="1EBD9178"/>
    <w:rsid w:val="1FE53EBF"/>
    <w:rsid w:val="29175814"/>
    <w:rsid w:val="2A875FBB"/>
    <w:rsid w:val="2CEFB339"/>
    <w:rsid w:val="2EFBBC48"/>
    <w:rsid w:val="38833267"/>
    <w:rsid w:val="3B9D0C2F"/>
    <w:rsid w:val="3BBF1B45"/>
    <w:rsid w:val="3DFF8C80"/>
    <w:rsid w:val="3FAC72FC"/>
    <w:rsid w:val="3FDF6C0E"/>
    <w:rsid w:val="3FE95ABC"/>
    <w:rsid w:val="410C0B4D"/>
    <w:rsid w:val="413B7A6D"/>
    <w:rsid w:val="4BE6FC41"/>
    <w:rsid w:val="56EEFD7E"/>
    <w:rsid w:val="57B74E1B"/>
    <w:rsid w:val="591FD8F5"/>
    <w:rsid w:val="5AAC40BB"/>
    <w:rsid w:val="5DD32290"/>
    <w:rsid w:val="5DF46E1D"/>
    <w:rsid w:val="5DFEE7D4"/>
    <w:rsid w:val="5E7D57FB"/>
    <w:rsid w:val="5F3743E3"/>
    <w:rsid w:val="5FAF1449"/>
    <w:rsid w:val="5FBC2178"/>
    <w:rsid w:val="5FEF00F3"/>
    <w:rsid w:val="5FFFF3B8"/>
    <w:rsid w:val="67DF0FF6"/>
    <w:rsid w:val="6F9B4CF3"/>
    <w:rsid w:val="6FAF0381"/>
    <w:rsid w:val="6FFF2EC6"/>
    <w:rsid w:val="73AFDBBB"/>
    <w:rsid w:val="76B8BECC"/>
    <w:rsid w:val="773E8A1D"/>
    <w:rsid w:val="77B66690"/>
    <w:rsid w:val="77B7957D"/>
    <w:rsid w:val="79FD01CE"/>
    <w:rsid w:val="7A8FFAC6"/>
    <w:rsid w:val="7AFB59A5"/>
    <w:rsid w:val="7BB5F0D1"/>
    <w:rsid w:val="7BDFCBFF"/>
    <w:rsid w:val="7CFECE28"/>
    <w:rsid w:val="7DB18C74"/>
    <w:rsid w:val="7DBAEB37"/>
    <w:rsid w:val="7DBF1A34"/>
    <w:rsid w:val="7DEB2C32"/>
    <w:rsid w:val="7DF9A356"/>
    <w:rsid w:val="7DFF523D"/>
    <w:rsid w:val="7E5F3199"/>
    <w:rsid w:val="7EF35ADA"/>
    <w:rsid w:val="7EFC1A43"/>
    <w:rsid w:val="7F7B04A8"/>
    <w:rsid w:val="7F7EF37E"/>
    <w:rsid w:val="7FA5EC14"/>
    <w:rsid w:val="7FBF553C"/>
    <w:rsid w:val="7FD7D6B2"/>
    <w:rsid w:val="7FE76174"/>
    <w:rsid w:val="7FF37BAA"/>
    <w:rsid w:val="937B5ACB"/>
    <w:rsid w:val="9DBC5BFE"/>
    <w:rsid w:val="A52FE2FA"/>
    <w:rsid w:val="A7EB79A2"/>
    <w:rsid w:val="ABC2528A"/>
    <w:rsid w:val="ABFD3B40"/>
    <w:rsid w:val="AE8F304D"/>
    <w:rsid w:val="AFFF087D"/>
    <w:rsid w:val="B76FEED9"/>
    <w:rsid w:val="B7D56515"/>
    <w:rsid w:val="B9EF54B5"/>
    <w:rsid w:val="BC264F10"/>
    <w:rsid w:val="BE3FDE16"/>
    <w:rsid w:val="BEFF65E4"/>
    <w:rsid w:val="D19F3350"/>
    <w:rsid w:val="D7371D03"/>
    <w:rsid w:val="D7FE4373"/>
    <w:rsid w:val="D7FF67C5"/>
    <w:rsid w:val="DBDFCECF"/>
    <w:rsid w:val="DE7F24A6"/>
    <w:rsid w:val="DFAF6C0A"/>
    <w:rsid w:val="E79F0FC0"/>
    <w:rsid w:val="E7AFC8B5"/>
    <w:rsid w:val="E7FBFD3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DE4D0F"/>
    <w:rsid w:val="FBF77622"/>
    <w:rsid w:val="FCD359B3"/>
    <w:rsid w:val="FE7F89ED"/>
    <w:rsid w:val="FEF7F2B9"/>
    <w:rsid w:val="FF5EC873"/>
    <w:rsid w:val="FF5EFE9B"/>
    <w:rsid w:val="FF6D7F3E"/>
    <w:rsid w:val="FF7700D8"/>
    <w:rsid w:val="FF7FE61E"/>
    <w:rsid w:val="FFAD001C"/>
    <w:rsid w:val="FFBEC70F"/>
    <w:rsid w:val="FFBF67D3"/>
    <w:rsid w:val="FFD77033"/>
    <w:rsid w:val="FFDF0FB2"/>
    <w:rsid w:val="FFF78C2C"/>
    <w:rsid w:val="FFFFA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5918</Words>
  <Characters>6368</Characters>
  <Lines>12</Lines>
  <Paragraphs>3</Paragraphs>
  <TotalTime>30</TotalTime>
  <ScaleCrop>false</ScaleCrop>
  <LinksUpToDate>false</LinksUpToDate>
  <CharactersWithSpaces>6496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2022-12-30T11:44:00Z</dcterms:created>
  <dc:creator>fxhuser</dc:creator>
  <cp:lastModifiedBy>执牛耳</cp:lastModifiedBy>
  <cp:lastPrinted>2022-12-30T08:41:00Z</cp:lastPrinted>
  <dcterms:modified xsi:type="dcterms:W3CDTF">2023-04-27T08:43:07Z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56FACA9B3E15428FBB12C149DC8F5E0C</vt:lpwstr>
  </property>
</Properties>
</file>