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</w:t>
      </w:r>
      <w:r>
        <w:rPr>
          <w:rFonts w:hint="eastAsia" w:ascii="楷体_GB2312" w:eastAsia="楷体_GB2312"/>
          <w:bCs/>
          <w:sz w:val="32"/>
          <w:szCs w:val="32"/>
          <w:u w:val="single"/>
        </w:rPr>
        <w:t xml:space="preserve">李大庆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楷体_GB2312" w:eastAsia="楷体_GB2312"/>
          <w:bCs/>
          <w:sz w:val="32"/>
          <w:szCs w:val="32"/>
          <w:u w:val="single"/>
        </w:rPr>
        <w:t>河北经贸大学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楷体_GB2312" w:eastAsia="楷体_GB2312"/>
          <w:bCs/>
          <w:sz w:val="32"/>
          <w:szCs w:val="32"/>
          <w:u w:val="single"/>
        </w:rPr>
        <w:t>河北省法学会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fldChar w:fldCharType="begin"/>
      </w:r>
      <w:r>
        <w:instrText xml:space="preserve"> HYPERLINK "mailto:qnfxj2022@163.com" </w:instrText>
      </w:r>
      <w:r>
        <w:fldChar w:fldCharType="separate"/>
      </w:r>
      <w:r>
        <w:rPr>
          <w:rStyle w:val="7"/>
          <w:rFonts w:hint="eastAsia" w:ascii="仿宋" w:hAnsi="仿宋" w:eastAsia="仿宋"/>
          <w:color w:val="000000"/>
          <w:sz w:val="28"/>
          <w:szCs w:val="28"/>
        </w:rPr>
        <w:t>qnfxj2022@163.com</w:t>
      </w:r>
      <w:r>
        <w:rPr>
          <w:rStyle w:val="7"/>
          <w:rFonts w:hint="eastAsia" w:ascii="仿宋" w:hAnsi="仿宋" w:eastAsia="仿宋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5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方正书宋简体" w:hAnsi="宋体" w:eastAsia="方正书宋简体"/>
                <w:color w:val="000000"/>
                <w:sz w:val="24"/>
              </w:rPr>
              <w:t>李大庆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方正书宋简体" w:hAnsi="宋体" w:eastAsia="方正书宋简体"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drawing>
                <wp:inline distT="0" distB="0" distL="114300" distR="114300">
                  <wp:extent cx="1253490" cy="1727200"/>
                  <wp:effectExtent l="0" t="0" r="3810" b="635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490" cy="172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方正书宋简体" w:hAnsi="宋体" w:eastAsia="方正书宋简体"/>
                <w:color w:val="000000"/>
                <w:sz w:val="24"/>
              </w:rPr>
            </w:pPr>
            <w:r>
              <w:rPr>
                <w:rFonts w:hint="eastAsia" w:ascii="方正书宋简体" w:hAnsi="宋体" w:eastAsia="方正书宋简体"/>
                <w:color w:val="000000"/>
                <w:sz w:val="24"/>
              </w:rPr>
              <w:t>1977年8月17日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方正书宋简体" w:hAnsi="宋体" w:eastAsia="方正书宋简体"/>
                <w:color w:val="000000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方正书宋简体" w:hAnsi="宋体" w:eastAsia="方正书宋简体"/>
                <w:color w:val="000000"/>
                <w:sz w:val="24"/>
              </w:rPr>
            </w:pPr>
            <w:r>
              <w:rPr>
                <w:rFonts w:hint="eastAsia" w:ascii="方正书宋简体" w:hAnsi="宋体" w:eastAsia="方正书宋简体"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方正书宋简体" w:hAnsi="宋体" w:eastAsia="方正书宋简体"/>
                <w:color w:val="000000"/>
                <w:sz w:val="24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方正书宋简体" w:hAnsi="宋体" w:eastAsia="方正书宋简体"/>
                <w:color w:val="000000"/>
                <w:sz w:val="24"/>
              </w:rPr>
            </w:pPr>
            <w:r>
              <w:rPr>
                <w:rFonts w:hint="eastAsia" w:ascii="方正书宋简体" w:hAnsi="宋体" w:eastAsia="方正书宋简体"/>
                <w:color w:val="000000"/>
                <w:sz w:val="24"/>
              </w:rPr>
              <w:t>副教授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方正书宋简体" w:hAnsi="宋体" w:eastAsia="方正书宋简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方正书宋简体" w:hAnsi="宋体" w:eastAsia="方正书宋简体"/>
                <w:color w:val="000000"/>
                <w:sz w:val="24"/>
              </w:rPr>
            </w:pPr>
            <w:r>
              <w:rPr>
                <w:rFonts w:hint="eastAsia" w:ascii="方正书宋简体" w:hAnsi="宋体" w:eastAsia="方正书宋简体"/>
                <w:color w:val="000000"/>
                <w:sz w:val="24"/>
              </w:rPr>
              <w:t>法学院副院长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方正书宋简体" w:hAnsi="宋体" w:eastAsia="方正书宋简体"/>
                <w:color w:val="000000"/>
                <w:sz w:val="24"/>
              </w:rPr>
              <w:t>河北经贸大学法学院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方正书宋简体" w:hAnsi="宋体" w:eastAsia="方正书宋简体"/>
                <w:color w:val="000000"/>
                <w:sz w:val="24"/>
              </w:rPr>
              <w:t>河北省石家庄市学府路47号河北经贸大学法学院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一、专著（</w:t>
            </w:r>
            <w:r>
              <w:rPr>
                <w:b/>
                <w:color w:val="000000"/>
                <w:sz w:val="24"/>
              </w:rPr>
              <w:t>3</w:t>
            </w:r>
            <w:r>
              <w:rPr>
                <w:rFonts w:hint="eastAsia"/>
                <w:b/>
                <w:color w:val="000000"/>
                <w:sz w:val="24"/>
              </w:rPr>
              <w:t>部）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1.《财税法治整体化的理论与制度研究》，独著，中国检察出版社2017年版，20万字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2.《村镇银行法律制度研究》，第二作者，中国检察出版社2018年版，20万字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3.《公法契约视野下的税收法定研究》，中国检察出版社2021年版，20万字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二、论文（18篇）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1.“财税体制科学化与税收程序契约化的法律路径”，独著，《税务研究》2014年第6期，被引16次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2.“论税收核定权的裁量属性及其法律控制”，第二作者，《税收经济研究》2018年第6期，被引27次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3.“财税体制改革的法律框架与法治化路径”，独著，《地方财政研究》2017年第3期，被引4次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4.“政府间税收利益协调的法律机制”，独著，《税收经济研究》2016年第4期，被引14次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5.“法学范式竞争与领域法学的知识创新”，独著，《江汉论坛》2019年第4期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6.“我国税务司法专门化之路径取向”，第一作者，《云南社会科学》2015年第3期，被引17次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7.“我国税务司法制度改革的契机与展望”，第一作者，《国际税收》2015年第10期，被引11次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8.“深化纳税服务的法学视角”，独著，《税收经济研究》2013年第3期，被引16次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9.“纳税服务法律化问题初探”，独著，《中山大学研究生学刊》2012年第4期，被引1次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10.“财税法视角下的政府及其权力”，独著，《石家庄铁道大学学报》2012年第2期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11.“中国石油税费制度评析与展望”，独著，《石油化工管理干部学院学报》2013年第3期，被引1次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12.“增值税扩围改革中税收收入分配问题探析”，第二作者，《河北学刊》2012年第6期，被引10次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13.“我国金融机构理财业务的法律困境与探索”，第二作者，《河北法学》2012年第6期，被引27次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14.“预算法修改：授权与限权的边界”，独著，《团结》2012年第4期，被引3次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15.“整体主义观念下的中国财税法学——从概念到体系”，独著，刘剑文主编，《财税法论丛》（第13卷），法律出版社2013年版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16.“财税一体化的法律逻辑与制度决定——一种公共财产法的视角”，第一作者，刘剑文主编，《财税法前沿问题研究（5）》，法律出版社2016年版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17.“公益诉讼与纳税人权利保护”，第二作者，刘剑文主编，《财税法前沿问题研究（6）》，法律出版社2016年版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18.“纳税义务溯及消灭的法教义学分析”，独著，刘剑文主编，《财税法前沿问题研究（7）》，法律出版社2017年版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1.第十六届河北省社会科学优秀成果二等奖（2018年）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2.全国法律专业学位研究生教育指导委员会优秀案例（2017年）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3.中国经济法学研究会“青年优秀论文三等奖”（2015年）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4.河北省高校百名优秀创新人才（2017年）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5.河北省法学会年度研究课题成果优秀奖（2019年）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6.第六届“法治河北论坛”优秀论文三等奖（2015年）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7.第十届“法治河北论坛”优秀论文三等奖（2019年）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8.河北经贸大学优秀教师（2015—2018年连续四年）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9.河北经贸大学优秀共产党员（2016年）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10.河北经贸大学教学优秀奖（2017年）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11.河北经贸大学“师德师风建设”征文大赛一等奖（2020年）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12.河北经贸大学优秀青年教师讲课比赛三等奖（2015年）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13.河北省社会科学优秀成果三等奖（2022年）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E4164"/>
    <w:rsid w:val="0052358C"/>
    <w:rsid w:val="00771AEB"/>
    <w:rsid w:val="00FB06D9"/>
    <w:rsid w:val="032F5B9B"/>
    <w:rsid w:val="1EBD9178"/>
    <w:rsid w:val="1F274302"/>
    <w:rsid w:val="1F707A57"/>
    <w:rsid w:val="23741DA0"/>
    <w:rsid w:val="24B902F3"/>
    <w:rsid w:val="2C150E08"/>
    <w:rsid w:val="2CEFB339"/>
    <w:rsid w:val="2EFBBC48"/>
    <w:rsid w:val="2F131DB9"/>
    <w:rsid w:val="322F0D89"/>
    <w:rsid w:val="32AF29FF"/>
    <w:rsid w:val="34622970"/>
    <w:rsid w:val="3B9D0C2F"/>
    <w:rsid w:val="3BBF1B45"/>
    <w:rsid w:val="3D583BAC"/>
    <w:rsid w:val="3DFF8C80"/>
    <w:rsid w:val="3FAC72FC"/>
    <w:rsid w:val="3FDF6C0E"/>
    <w:rsid w:val="3FE95ABC"/>
    <w:rsid w:val="4530540F"/>
    <w:rsid w:val="469B0FAE"/>
    <w:rsid w:val="47086F00"/>
    <w:rsid w:val="47720FB8"/>
    <w:rsid w:val="56EEFD7E"/>
    <w:rsid w:val="57B74E1B"/>
    <w:rsid w:val="591FD8F5"/>
    <w:rsid w:val="5AAC40BB"/>
    <w:rsid w:val="5DD32290"/>
    <w:rsid w:val="5DF46E1D"/>
    <w:rsid w:val="5DFEE7D4"/>
    <w:rsid w:val="5F3743E3"/>
    <w:rsid w:val="5FBC2178"/>
    <w:rsid w:val="6F9B4CF3"/>
    <w:rsid w:val="6FAF0381"/>
    <w:rsid w:val="6FFF2EC6"/>
    <w:rsid w:val="78FE2B52"/>
    <w:rsid w:val="7A8FFAC6"/>
    <w:rsid w:val="7AD225DE"/>
    <w:rsid w:val="7AFB59A5"/>
    <w:rsid w:val="7BDFCBFF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D7371D03"/>
    <w:rsid w:val="D7FE4373"/>
    <w:rsid w:val="DE7F24A6"/>
    <w:rsid w:val="ED661AE8"/>
    <w:rsid w:val="EDFF9236"/>
    <w:rsid w:val="EEFDCF1B"/>
    <w:rsid w:val="EF358C7A"/>
    <w:rsid w:val="EFBFEC5E"/>
    <w:rsid w:val="F2715785"/>
    <w:rsid w:val="F3D759E3"/>
    <w:rsid w:val="F7AF7DD2"/>
    <w:rsid w:val="FAFBA160"/>
    <w:rsid w:val="FBDBA10B"/>
    <w:rsid w:val="FBF776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3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10</Pages>
  <Words>2826</Words>
  <Characters>3130</Characters>
  <Lines>32</Lines>
  <Paragraphs>9</Paragraphs>
  <TotalTime>25</TotalTime>
  <ScaleCrop>false</ScaleCrop>
  <LinksUpToDate>false</LinksUpToDate>
  <CharactersWithSpaces>3259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2022-12-28T03:44:00Z</dcterms:created>
  <dc:creator>fxhuser</dc:creator>
  <cp:lastModifiedBy>执牛耳</cp:lastModifiedBy>
  <cp:lastPrinted>2022-12-28T00:41:00Z</cp:lastPrinted>
  <dcterms:modified xsi:type="dcterms:W3CDTF">2023-04-27T06:38:35Z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5FB7C1941EA348C69C8FD81AFC462C37</vt:lpwstr>
  </property>
</Properties>
</file>