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苏宇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中国人民公安大学法学院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中国法学会警察法学研究会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none"/>
        </w:rPr>
        <w:t xml:space="preserve">       </w:t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中国人民公安大学法学院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苏宇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383030"/>
                  <wp:effectExtent l="0" t="0" r="127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年5月2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中国人民公安大学法学院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北京市西城区木樨地南里1号中国人民公安大学法学院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一、代表性著作和论文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（一）著作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《走向“理由之治”：行政说明理由制度之透视》，独著，中国法制出版社2019年版（第八届“董必武青年法学成果奖”二等奖，2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51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千字，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暂被引2</w:t>
            </w:r>
            <w:r>
              <w:rPr>
                <w:rFonts w:ascii="楷体_GB2312" w:hAnsi="楷体" w:eastAsia="楷体_GB2312"/>
                <w:bCs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次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（二）论文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《算法规制的谱系》，《中国法学》2020年第3期（权威期刊/CSSC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I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，独著，暂被引1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次）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《风险预防原则的结构化阐释》，《法学研究》2021年第1期（权威期刊/CSSCI，独著，暂被引4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次）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《数字时代的技术性正当程序：理论检视与制度构建》，《法学研究》2023年第1期（权威期刊/CSSCI，独著，暂被引0次）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二、其他主要论文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1.《论警察法学理论体系的独立性及其构建进路》，《中国人民公安大学学报》2015年第5期（中文核心，独著，中国警察法学研究会2015年年会征文评审一等奖）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2.《接处警法制的反思与重构》，《当代法学》2017年第1期（CSSCI，独著）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.《面向未来的学理革新：行政法律关系理论之省视与展望》，《行政法学研究》2019年第6期（CSSCI,独著）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.《论算法规制的价值目标与机制设计》，《自然辩证法通讯》2019年第10期（CSSCI，独著）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.《个人信息的身份识别标准:源流、实践与反思》，《交大法学》2019年第4期（CS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SCI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扩展版，合署第一作者，《中国社会科学文摘》转载）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.《区块链治理的政府责任》，《法商研究》2020年第4期（CSSCI，独著）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.《数字代币监管的模式、架构与机制》，《东方法学》2021年第3期（CSSCI，独著）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8.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《论行政行为形式认定标准》，《华东政法大学学报》2021年第4期（CSSCI，独著，人大复印报刊资料转载）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.《网络爬虫的行政法规制》，《政法论坛》2021年第6期（CSSCI，独著）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10.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《优化算法可解释性及透明度义务之诠释与展开》，《法律科学》2022年第1期（CSSCI，独著，《中国社会科学文摘》转载）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.《“信息技术+法学”的教学、研究与平台建设：一个整体性的观察与反思》，《中国法律评论》2021年第6期（CSSCI，独著）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.《非同质通证的法律性质与风险治理》，《东方法学》2022年第2期（CSSCI，独著）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13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.《数据推理的法律规制》，《浙江学刊》2022年第4期（CSSCI，独著）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14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.《平台数据垄断的监管限度》，《国家检察官学院学报》2022年第6期（CSSCI，独著）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</w:t>
            </w:r>
            <w:r>
              <w:rPr>
                <w:rFonts w:hint="eastAsia" w:cs="Arial"/>
                <w:kern w:val="0"/>
                <w:sz w:val="32"/>
                <w:szCs w:val="32"/>
                <w:lang w:eastAsia="zh-CN"/>
              </w:rPr>
              <w:t>法学会</w:t>
            </w:r>
            <w:r>
              <w:rPr>
                <w:rFonts w:hint="eastAsia" w:cs="Arial"/>
                <w:kern w:val="0"/>
                <w:sz w:val="32"/>
                <w:szCs w:val="32"/>
              </w:rPr>
              <w:t>警察法学研究会2015年年会征文评审一等奖（2</w:t>
            </w:r>
            <w:r>
              <w:rPr>
                <w:rFonts w:cs="Arial"/>
                <w:kern w:val="0"/>
                <w:sz w:val="32"/>
                <w:szCs w:val="32"/>
              </w:rPr>
              <w:t>015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中国人民公安大学课堂教学比赛中职组一等奖（第一名，2</w:t>
            </w:r>
            <w:r>
              <w:rPr>
                <w:rFonts w:cs="Arial"/>
                <w:kern w:val="0"/>
                <w:sz w:val="32"/>
                <w:szCs w:val="32"/>
              </w:rPr>
              <w:t>015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北京市“百名法学英才”（2</w:t>
            </w:r>
            <w:r>
              <w:rPr>
                <w:rFonts w:cs="Arial"/>
                <w:kern w:val="0"/>
                <w:sz w:val="32"/>
                <w:szCs w:val="32"/>
              </w:rPr>
              <w:t>018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公安部直属机关“学用新思想、建功新时代”主题征文活动三等奖（2</w:t>
            </w:r>
            <w:r>
              <w:rPr>
                <w:rFonts w:cs="Arial"/>
                <w:kern w:val="0"/>
                <w:sz w:val="32"/>
                <w:szCs w:val="32"/>
              </w:rPr>
              <w:t>019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Arial"/>
                <w:b/>
                <w:bCs/>
                <w:kern w:val="0"/>
                <w:sz w:val="32"/>
                <w:szCs w:val="32"/>
              </w:rPr>
              <w:t>第八届“董必武青年法学成果奖”二等奖（2</w:t>
            </w:r>
            <w:r>
              <w:rPr>
                <w:rFonts w:cs="Arial"/>
                <w:b/>
                <w:bCs/>
                <w:kern w:val="0"/>
                <w:sz w:val="32"/>
                <w:szCs w:val="32"/>
              </w:rPr>
              <w:t>020</w:t>
            </w:r>
            <w:r>
              <w:rPr>
                <w:rFonts w:hint="eastAsia" w:cs="Arial"/>
                <w:b/>
                <w:bCs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中国人民公安大学科研杰出贡献奖（2</w:t>
            </w:r>
            <w:r>
              <w:rPr>
                <w:rFonts w:cs="Arial"/>
                <w:kern w:val="0"/>
                <w:sz w:val="32"/>
                <w:szCs w:val="32"/>
              </w:rPr>
              <w:t>020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个人三等功（2</w:t>
            </w:r>
            <w:r>
              <w:rPr>
                <w:rFonts w:cs="Arial"/>
                <w:kern w:val="0"/>
                <w:sz w:val="32"/>
                <w:szCs w:val="32"/>
              </w:rPr>
              <w:t>020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Arial"/>
                <w:b/>
                <w:bCs/>
                <w:kern w:val="0"/>
                <w:sz w:val="32"/>
                <w:szCs w:val="32"/>
              </w:rPr>
              <w:t>全国公安优秀教师（2</w:t>
            </w:r>
            <w:r>
              <w:rPr>
                <w:rFonts w:cs="Arial"/>
                <w:b/>
                <w:bCs/>
                <w:kern w:val="0"/>
                <w:sz w:val="32"/>
                <w:szCs w:val="32"/>
              </w:rPr>
              <w:t>021</w:t>
            </w:r>
            <w:r>
              <w:rPr>
                <w:rFonts w:hint="eastAsia" w:cs="Arial"/>
                <w:b/>
                <w:bCs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第六届全国教育科学研究优秀成果奖三等奖（合作成果，排名第二，</w:t>
            </w:r>
            <w:r>
              <w:rPr>
                <w:rFonts w:cs="Arial"/>
                <w:kern w:val="0"/>
                <w:sz w:val="32"/>
                <w:szCs w:val="32"/>
              </w:rPr>
              <w:t>2021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after="31" w:afterLines="10"/>
              <w:ind w:left="1061" w:firstLineChars="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中国人民公安大学“五四青年”奖章（2</w:t>
            </w:r>
            <w:r>
              <w:rPr>
                <w:rFonts w:cs="Arial"/>
                <w:kern w:val="0"/>
                <w:sz w:val="32"/>
                <w:szCs w:val="32"/>
              </w:rPr>
              <w:t>021</w:t>
            </w:r>
            <w:r>
              <w:rPr>
                <w:rFonts w:hint="eastAsia" w:cs="Arial"/>
                <w:kern w:val="0"/>
                <w:sz w:val="32"/>
                <w:szCs w:val="32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CE770F"/>
    <w:multiLevelType w:val="multilevel"/>
    <w:tmpl w:val="68CE770F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375F"/>
    <w:rsid w:val="00026F4D"/>
    <w:rsid w:val="00042784"/>
    <w:rsid w:val="00081590"/>
    <w:rsid w:val="000F00E8"/>
    <w:rsid w:val="00104D8F"/>
    <w:rsid w:val="00131C2D"/>
    <w:rsid w:val="0015301B"/>
    <w:rsid w:val="00196FC5"/>
    <w:rsid w:val="001A6656"/>
    <w:rsid w:val="001B0479"/>
    <w:rsid w:val="001B1D2D"/>
    <w:rsid w:val="001C2C1E"/>
    <w:rsid w:val="001E27CB"/>
    <w:rsid w:val="0020128C"/>
    <w:rsid w:val="00213BAD"/>
    <w:rsid w:val="00240AB2"/>
    <w:rsid w:val="00240DB5"/>
    <w:rsid w:val="00242C9E"/>
    <w:rsid w:val="002457E8"/>
    <w:rsid w:val="002E70FE"/>
    <w:rsid w:val="002F0CEF"/>
    <w:rsid w:val="002F18D8"/>
    <w:rsid w:val="00325B69"/>
    <w:rsid w:val="003436AA"/>
    <w:rsid w:val="003647E1"/>
    <w:rsid w:val="003B0A05"/>
    <w:rsid w:val="003D4DAB"/>
    <w:rsid w:val="004067EA"/>
    <w:rsid w:val="0041678E"/>
    <w:rsid w:val="00437594"/>
    <w:rsid w:val="00454ED9"/>
    <w:rsid w:val="00476ABB"/>
    <w:rsid w:val="00495048"/>
    <w:rsid w:val="004A5BF5"/>
    <w:rsid w:val="004B5067"/>
    <w:rsid w:val="004D2FF7"/>
    <w:rsid w:val="004D4BFD"/>
    <w:rsid w:val="00506BBE"/>
    <w:rsid w:val="0052358C"/>
    <w:rsid w:val="005407C5"/>
    <w:rsid w:val="00556C1C"/>
    <w:rsid w:val="00570448"/>
    <w:rsid w:val="00585387"/>
    <w:rsid w:val="005910F5"/>
    <w:rsid w:val="005916FA"/>
    <w:rsid w:val="005A1FD9"/>
    <w:rsid w:val="005C0974"/>
    <w:rsid w:val="005D1D94"/>
    <w:rsid w:val="00604CBE"/>
    <w:rsid w:val="006506FC"/>
    <w:rsid w:val="006560D0"/>
    <w:rsid w:val="00674143"/>
    <w:rsid w:val="006D769A"/>
    <w:rsid w:val="006E561D"/>
    <w:rsid w:val="00711637"/>
    <w:rsid w:val="00725034"/>
    <w:rsid w:val="007365D7"/>
    <w:rsid w:val="0074183E"/>
    <w:rsid w:val="007556C4"/>
    <w:rsid w:val="00780A86"/>
    <w:rsid w:val="007A3EB5"/>
    <w:rsid w:val="007A4CA1"/>
    <w:rsid w:val="007C409E"/>
    <w:rsid w:val="007E4DD7"/>
    <w:rsid w:val="007E6DEC"/>
    <w:rsid w:val="007F0798"/>
    <w:rsid w:val="008130EE"/>
    <w:rsid w:val="00815FE5"/>
    <w:rsid w:val="008170F3"/>
    <w:rsid w:val="00843D93"/>
    <w:rsid w:val="008512FA"/>
    <w:rsid w:val="008643A5"/>
    <w:rsid w:val="00877D97"/>
    <w:rsid w:val="00885B64"/>
    <w:rsid w:val="00890F8C"/>
    <w:rsid w:val="00895C6C"/>
    <w:rsid w:val="008C0243"/>
    <w:rsid w:val="008C20DC"/>
    <w:rsid w:val="009025D5"/>
    <w:rsid w:val="009321DD"/>
    <w:rsid w:val="009D6E73"/>
    <w:rsid w:val="009E6113"/>
    <w:rsid w:val="00A124DD"/>
    <w:rsid w:val="00A5297C"/>
    <w:rsid w:val="00A5507F"/>
    <w:rsid w:val="00A766E8"/>
    <w:rsid w:val="00A81006"/>
    <w:rsid w:val="00A82C86"/>
    <w:rsid w:val="00A83085"/>
    <w:rsid w:val="00AA6F41"/>
    <w:rsid w:val="00AB1E51"/>
    <w:rsid w:val="00AC0A85"/>
    <w:rsid w:val="00AD0BA3"/>
    <w:rsid w:val="00B22DAC"/>
    <w:rsid w:val="00B267BA"/>
    <w:rsid w:val="00B36178"/>
    <w:rsid w:val="00B95AA5"/>
    <w:rsid w:val="00BB79C9"/>
    <w:rsid w:val="00BC456E"/>
    <w:rsid w:val="00BC75F1"/>
    <w:rsid w:val="00BD4A9F"/>
    <w:rsid w:val="00C25C14"/>
    <w:rsid w:val="00C325C2"/>
    <w:rsid w:val="00C556BE"/>
    <w:rsid w:val="00C70039"/>
    <w:rsid w:val="00CA3C36"/>
    <w:rsid w:val="00CB3C2A"/>
    <w:rsid w:val="00CD10C5"/>
    <w:rsid w:val="00D15CF5"/>
    <w:rsid w:val="00D31A3D"/>
    <w:rsid w:val="00D33B10"/>
    <w:rsid w:val="00D34224"/>
    <w:rsid w:val="00D62636"/>
    <w:rsid w:val="00D831F1"/>
    <w:rsid w:val="00D8378F"/>
    <w:rsid w:val="00DB5EAB"/>
    <w:rsid w:val="00DC1ACB"/>
    <w:rsid w:val="00DC666E"/>
    <w:rsid w:val="00DF71C8"/>
    <w:rsid w:val="00E145F6"/>
    <w:rsid w:val="00E35831"/>
    <w:rsid w:val="00E437BA"/>
    <w:rsid w:val="00E474F6"/>
    <w:rsid w:val="00E62A77"/>
    <w:rsid w:val="00E84BAE"/>
    <w:rsid w:val="00EC4589"/>
    <w:rsid w:val="00F347DC"/>
    <w:rsid w:val="00F43D8F"/>
    <w:rsid w:val="00F55A56"/>
    <w:rsid w:val="00F7335D"/>
    <w:rsid w:val="00F86041"/>
    <w:rsid w:val="00F968B8"/>
    <w:rsid w:val="00FB06D9"/>
    <w:rsid w:val="00FE1C77"/>
    <w:rsid w:val="1A8259CB"/>
    <w:rsid w:val="1EBD9178"/>
    <w:rsid w:val="2CEFB339"/>
    <w:rsid w:val="2EFBBC48"/>
    <w:rsid w:val="3B9D0C2F"/>
    <w:rsid w:val="3BBF1B45"/>
    <w:rsid w:val="3DD364E9"/>
    <w:rsid w:val="3DFF8C80"/>
    <w:rsid w:val="3FAC72FC"/>
    <w:rsid w:val="3FDF6C0E"/>
    <w:rsid w:val="3FE95ABC"/>
    <w:rsid w:val="49AC3F42"/>
    <w:rsid w:val="4AC473FE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3FFBE57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DAB72A"/>
    <w:rsid w:val="AFFF087D"/>
    <w:rsid w:val="B7D56515"/>
    <w:rsid w:val="B9EF54B5"/>
    <w:rsid w:val="BE3FDE16"/>
    <w:rsid w:val="BEFF65E4"/>
    <w:rsid w:val="CDFE4756"/>
    <w:rsid w:val="D7371D03"/>
    <w:rsid w:val="D7FE4373"/>
    <w:rsid w:val="DE7F24A6"/>
    <w:rsid w:val="ED661AE8"/>
    <w:rsid w:val="EDFF9236"/>
    <w:rsid w:val="EEDB1ED7"/>
    <w:rsid w:val="EEFDCF1B"/>
    <w:rsid w:val="EF358C7A"/>
    <w:rsid w:val="EFBFEC5E"/>
    <w:rsid w:val="F2715785"/>
    <w:rsid w:val="F3D759E3"/>
    <w:rsid w:val="F6DF595D"/>
    <w:rsid w:val="F7AF7DD2"/>
    <w:rsid w:val="FAFBA160"/>
    <w:rsid w:val="FBDBA10B"/>
    <w:rsid w:val="FBF77622"/>
    <w:rsid w:val="FE7F89ED"/>
    <w:rsid w:val="FEBE6874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3659</Words>
  <Characters>4029</Characters>
  <Lines>47</Lines>
  <Paragraphs>13</Paragraphs>
  <TotalTime>29</TotalTime>
  <ScaleCrop>false</ScaleCrop>
  <LinksUpToDate>false</LinksUpToDate>
  <CharactersWithSpaces>4252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2023-02-18T04:58:00Z</dcterms:created>
  <dc:creator>fxhuser</dc:creator>
  <cp:lastModifiedBy>执牛耳</cp:lastModifiedBy>
  <cp:lastPrinted>2022-12-29T08:41:00Z</cp:lastPrinted>
  <dcterms:modified xsi:type="dcterms:W3CDTF">2023-04-27T06:34:49Z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7F79A9C1E3AFC2A43881B5639EEF5BB8</vt:lpwstr>
  </property>
</Properties>
</file>