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吴光荣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国家法官学院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Hans"/>
        </w:rPr>
        <w:t>中国法学会审判理论研究会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电子邮箱：qnfxj2022@163.com</w:t>
      </w:r>
    </w:p>
    <w:p>
      <w:pPr>
        <w:rPr>
          <w:rFonts w:ascii="宋体" w:hAnsi="宋体"/>
          <w:b/>
          <w:bCs/>
          <w:color w:val="000000"/>
          <w:sz w:val="24"/>
        </w:rPr>
      </w:pPr>
    </w:p>
    <w:tbl>
      <w:tblPr>
        <w:tblStyle w:val="6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吴光荣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1905</wp:posOffset>
                  </wp:positionV>
                  <wp:extent cx="1097280" cy="1704975"/>
                  <wp:effectExtent l="19050" t="0" r="7620" b="0"/>
                  <wp:wrapSquare wrapText="bothSides"/>
                  <wp:docPr id="4" name="图片 1" descr="D:\桌面材料2022\2022年文档\正式在编工作人员照片\民商事审判教研部A\IMG_A045 吴光荣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D:\桌面材料2022\2022年文档\正式在编工作人员照片\民商事审判教研部A\IMG_A045 吴光荣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70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1977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年</w:t>
            </w:r>
            <w:r>
              <w:rPr>
                <w:rFonts w:ascii="宋体" w:hAnsi="宋体"/>
                <w:b/>
                <w:color w:val="000000"/>
                <w:sz w:val="24"/>
              </w:rPr>
              <w:t>10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月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汉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民革党员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博士研究生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教授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无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国家法官学院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北京市丰台区南四环西路</w:t>
            </w:r>
            <w:r>
              <w:rPr>
                <w:rFonts w:ascii="宋体" w:hAnsi="宋体"/>
                <w:b/>
                <w:color w:val="000000"/>
                <w:sz w:val="24"/>
              </w:rPr>
              <w:t>111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260" w:lineRule="exact"/>
              <w:jc w:val="center"/>
              <w:textAlignment w:val="auto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专著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1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.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《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担保法精讲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》（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独著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），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中国民主法制出版社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2023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年版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，50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万字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2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.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《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物权诉讼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：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原理与实务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》（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独著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），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人民法院出版社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2009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年版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，60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万字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论文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1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.《征收制度在我国的异化与回归》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（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独著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）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，载《法学研究》2011年第3期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（2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.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5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万字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，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被引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50）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2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.《行政审批对合同效力的影响：理论与实践》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（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独著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）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，载《法学家》2013年第1期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（2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.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5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万字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，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被引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151）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3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.《再谈无权处分行为的效力——兼论法释[2012]8号第3条的理论基础》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（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独著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）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，载《法学家》2015年第3期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（2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.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5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万字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，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被引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28）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4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.《论无权处分的适用范围》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（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独著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）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，载《中外法学》2005年第3期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（2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万字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，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被引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32）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5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.《论不动产登记簿的形式拘束力》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（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独著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）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，载《清华法学》2009年第5期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（2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万字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，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被引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8）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6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.《违反让与禁止的法律后果——兼论&lt;房地产管理法&gt;第38条与&lt;担保法&gt;第37条的规范性质》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（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独著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）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，载《法律科学》2014年第5期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（2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.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5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万字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，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被引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24）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7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.《论善意取得制度的适用范围——兼评&lt;中华人民共和国物权法(草案)&gt;相关规定》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（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独著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）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，载《法律科学》2006年第4期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（2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.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5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万字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，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被引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33）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8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.《论未经抵押权人同意之抵押物转让的效力》（与刘贵祥合作，第二作者），载《比较法研究》2013年第5期（该文被人大复印资料全文转载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，2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.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5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万字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，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被引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118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）。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9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.《论行政争议与民事争议相互交织的解决路径——评&lt;行政诉讼法修正案（草案）&gt;第63条第1款》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（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独著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）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，载《政治与法律》2014年第5期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（2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万字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，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被引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27）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10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.《中国法语境下的合同效力：理论与实践》（与崔建远合作，第二作者），载《法律适用》2012年第7期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（2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万字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，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被引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153）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11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.《实践感悟：再谈作为科学的法学》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（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独著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）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，载《法律适用》2016年第7期（该文被人大复印报刊资料全文转载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，2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万字）。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12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.《留德随想：也谈作为科学的法学》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（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独著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）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，载《法律适用》2009年第7期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（2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万字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）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13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.《不动产权属确认的基本原则》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（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独著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）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，载《人民司法》2009年第19期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（1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.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5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万字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）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14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.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《更正登记的实体价值与程序意义》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（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独著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）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，载《法律适用》2017年第21期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（2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万字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）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15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.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《也谈依法律文书发生的物权变动——兼评&lt;物权法司法解释一&gt;第7条》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（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独著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）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，载《法律适用》2016年第5期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（2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万字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）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16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.《民法典对担保制度新发展及其适用》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（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独著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）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，载《法治研究》2021年第4期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（2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.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5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万字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）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17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.《共同担保人之间的追偿问题》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（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独著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）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，载《法律适用》2021年第3期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（2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.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5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万字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）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18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.《与破产法有关的几个担保问题》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（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与郁林合作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，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为第二作者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）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，载《法律适用》2021年第9期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（2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.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5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万字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）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19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.《关于合同效力的几个问题》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（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与刘贵祥合作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，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为第二作者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）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，载《中国应用法学》2021年第6期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（2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.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5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万字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）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20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.《&lt;民法典&gt;背景下破产财产的范围及其认定》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（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独著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）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，载《法律适用》2022年第1期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（2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.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5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万字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）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21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.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《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也谈借名购房的物权归属与合同效力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》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(独著)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，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载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《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法治研究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》2022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年第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6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期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（2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.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5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万字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）。</w:t>
            </w:r>
          </w:p>
          <w:p>
            <w:pPr>
              <w:tabs>
                <w:tab w:val="left" w:pos="4185"/>
              </w:tabs>
              <w:snapToGrid w:val="0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Lines="5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一</w:t>
            </w:r>
            <w:r>
              <w:rPr>
                <w:rFonts w:ascii="楷体" w:hAnsi="楷体" w:eastAsia="楷体" w:cs="Arial"/>
                <w:b/>
                <w:kern w:val="0"/>
                <w:sz w:val="24"/>
              </w:rPr>
              <w:t>、</w:t>
            </w: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所获奖项</w:t>
            </w:r>
          </w:p>
          <w:p>
            <w:pPr>
              <w:tabs>
                <w:tab w:val="left" w:pos="4185"/>
              </w:tabs>
              <w:snapToGrid w:val="0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ascii="楷体" w:hAnsi="楷体" w:eastAsia="楷体" w:cs="Arial"/>
                <w:b/>
                <w:kern w:val="0"/>
                <w:sz w:val="24"/>
              </w:rPr>
              <w:t>1</w:t>
            </w: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.《不动产登记与政府职能转变》一文获中国法学会主办的第九届中国法学家论坛征文评比一等奖（</w:t>
            </w:r>
            <w:r>
              <w:rPr>
                <w:rFonts w:ascii="楷体" w:hAnsi="楷体" w:eastAsia="楷体" w:cs="Arial"/>
                <w:b/>
                <w:kern w:val="0"/>
                <w:sz w:val="24"/>
              </w:rPr>
              <w:t>2014</w:t>
            </w: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年</w:t>
            </w:r>
            <w:r>
              <w:rPr>
                <w:rFonts w:ascii="楷体" w:hAnsi="楷体" w:eastAsia="楷体" w:cs="Arial"/>
                <w:b/>
                <w:kern w:val="0"/>
                <w:sz w:val="24"/>
              </w:rPr>
              <w:t>；</w:t>
            </w: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省部级以上）。</w:t>
            </w:r>
          </w:p>
          <w:p>
            <w:pPr>
              <w:tabs>
                <w:tab w:val="left" w:pos="4185"/>
              </w:tabs>
              <w:snapToGrid w:val="0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ascii="楷体" w:hAnsi="楷体" w:eastAsia="楷体" w:cs="Arial"/>
                <w:b/>
                <w:kern w:val="0"/>
                <w:sz w:val="24"/>
              </w:rPr>
              <w:t>2</w:t>
            </w: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.与复旦大学章武生教授等合作完成“个案全过程教学法及其在法学教育中的应用”</w:t>
            </w:r>
            <w:r>
              <w:rPr>
                <w:rFonts w:ascii="楷体" w:hAnsi="楷体" w:eastAsia="楷体" w:cs="Arial"/>
                <w:b/>
                <w:kern w:val="0"/>
                <w:sz w:val="24"/>
              </w:rPr>
              <w:t>，</w:t>
            </w: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获上海市教学成果一等奖（</w:t>
            </w:r>
            <w:r>
              <w:rPr>
                <w:rFonts w:ascii="楷体" w:hAnsi="楷体" w:eastAsia="楷体" w:cs="Arial"/>
                <w:b/>
                <w:kern w:val="0"/>
                <w:sz w:val="24"/>
              </w:rPr>
              <w:t>2013</w:t>
            </w: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年</w:t>
            </w:r>
            <w:r>
              <w:rPr>
                <w:rFonts w:ascii="楷体" w:hAnsi="楷体" w:eastAsia="楷体" w:cs="Arial"/>
                <w:b/>
                <w:kern w:val="0"/>
                <w:sz w:val="24"/>
              </w:rPr>
              <w:t>；</w:t>
            </w: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省部级以上）。</w:t>
            </w:r>
          </w:p>
          <w:p>
            <w:pPr>
              <w:tabs>
                <w:tab w:val="left" w:pos="4185"/>
              </w:tabs>
              <w:snapToGrid w:val="0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ascii="楷体" w:hAnsi="楷体" w:eastAsia="楷体" w:cs="Arial"/>
                <w:b/>
                <w:kern w:val="0"/>
                <w:sz w:val="24"/>
              </w:rPr>
              <w:t>3</w:t>
            </w: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.《论善意取得制度的适用范围》一文获全国法院学术讨论会论文评比二等奖（</w:t>
            </w:r>
            <w:r>
              <w:rPr>
                <w:rFonts w:ascii="楷体" w:hAnsi="楷体" w:eastAsia="楷体" w:cs="Arial"/>
                <w:b/>
                <w:kern w:val="0"/>
                <w:sz w:val="24"/>
              </w:rPr>
              <w:t>200</w:t>
            </w: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5年</w:t>
            </w:r>
            <w:r>
              <w:rPr>
                <w:rFonts w:ascii="楷体" w:hAnsi="楷体" w:eastAsia="楷体" w:cs="Arial"/>
                <w:b/>
                <w:kern w:val="0"/>
                <w:sz w:val="24"/>
              </w:rPr>
              <w:t>；</w:t>
            </w: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省部级以上）</w:t>
            </w:r>
          </w:p>
          <w:p>
            <w:pPr>
              <w:tabs>
                <w:tab w:val="left" w:pos="4185"/>
              </w:tabs>
              <w:snapToGrid w:val="0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ascii="楷体" w:hAnsi="楷体" w:eastAsia="楷体" w:cs="Arial"/>
                <w:b/>
                <w:kern w:val="0"/>
                <w:sz w:val="24"/>
              </w:rPr>
              <w:t>4</w:t>
            </w: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.</w:t>
            </w:r>
            <w:r>
              <w:rPr>
                <w:rFonts w:ascii="楷体" w:hAnsi="楷体" w:eastAsia="楷体" w:cs="Arial"/>
                <w:b/>
                <w:kern w:val="0"/>
                <w:sz w:val="24"/>
              </w:rPr>
              <w:t>《</w:t>
            </w: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不动产登记与不动产确认</w:t>
            </w:r>
            <w:r>
              <w:rPr>
                <w:rFonts w:ascii="楷体" w:hAnsi="楷体" w:eastAsia="楷体" w:cs="Arial"/>
                <w:b/>
                <w:kern w:val="0"/>
                <w:sz w:val="24"/>
              </w:rPr>
              <w:t>》</w:t>
            </w: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入选国家法官学院首批精品课程</w:t>
            </w:r>
            <w:r>
              <w:rPr>
                <w:rFonts w:ascii="楷体" w:hAnsi="楷体" w:eastAsia="楷体" w:cs="Arial"/>
                <w:b/>
                <w:kern w:val="0"/>
                <w:sz w:val="24"/>
              </w:rPr>
              <w:t>（2020</w:t>
            </w: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年</w:t>
            </w:r>
            <w:r>
              <w:rPr>
                <w:rFonts w:ascii="楷体" w:hAnsi="楷体" w:eastAsia="楷体" w:cs="Arial"/>
                <w:b/>
                <w:kern w:val="0"/>
                <w:sz w:val="24"/>
              </w:rPr>
              <w:t>；</w:t>
            </w: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未定等级</w:t>
            </w:r>
            <w:r>
              <w:rPr>
                <w:rFonts w:ascii="楷体" w:hAnsi="楷体" w:eastAsia="楷体" w:cs="Arial"/>
                <w:b/>
                <w:kern w:val="0"/>
                <w:sz w:val="24"/>
              </w:rPr>
              <w:t>）。</w:t>
            </w:r>
          </w:p>
          <w:p>
            <w:pPr>
              <w:tabs>
                <w:tab w:val="left" w:pos="4185"/>
              </w:tabs>
              <w:snapToGrid w:val="0"/>
              <w:rPr>
                <w:rFonts w:ascii="楷体" w:hAnsi="楷体" w:eastAsia="楷体" w:cs="Arial"/>
                <w:b/>
                <w:kern w:val="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二</w:t>
            </w:r>
            <w:r>
              <w:rPr>
                <w:rFonts w:ascii="楷体" w:hAnsi="楷体" w:eastAsia="楷体" w:cs="Arial"/>
                <w:b/>
                <w:kern w:val="0"/>
                <w:sz w:val="24"/>
              </w:rPr>
              <w:t>、</w:t>
            </w: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所受表彰</w:t>
            </w:r>
          </w:p>
          <w:p>
            <w:pPr>
              <w:tabs>
                <w:tab w:val="left" w:pos="4185"/>
              </w:tabs>
              <w:snapToGrid w:val="0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ascii="楷体" w:hAnsi="楷体" w:eastAsia="楷体" w:cs="Arial"/>
                <w:b/>
                <w:kern w:val="0"/>
                <w:sz w:val="24"/>
              </w:rPr>
              <w:t>1</w:t>
            </w: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.作为承办人因审理“（2013）民提字第35号”案获最高人民法院嘉奖</w:t>
            </w:r>
            <w:r>
              <w:rPr>
                <w:rFonts w:ascii="楷体" w:hAnsi="楷体" w:eastAsia="楷体" w:cs="Arial"/>
                <w:b/>
                <w:kern w:val="0"/>
                <w:sz w:val="24"/>
              </w:rPr>
              <w:t>（201</w:t>
            </w: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4年</w:t>
            </w:r>
            <w:r>
              <w:rPr>
                <w:rFonts w:ascii="楷体" w:hAnsi="楷体" w:eastAsia="楷体" w:cs="Arial"/>
                <w:b/>
                <w:kern w:val="0"/>
                <w:sz w:val="24"/>
              </w:rPr>
              <w:t>；</w:t>
            </w: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未定等级</w:t>
            </w:r>
            <w:r>
              <w:rPr>
                <w:rFonts w:ascii="楷体" w:hAnsi="楷体" w:eastAsia="楷体" w:cs="Arial"/>
                <w:b/>
                <w:kern w:val="0"/>
                <w:sz w:val="24"/>
              </w:rPr>
              <w:t>）</w:t>
            </w: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。</w:t>
            </w:r>
          </w:p>
          <w:p>
            <w:pPr>
              <w:tabs>
                <w:tab w:val="left" w:pos="4185"/>
              </w:tabs>
              <w:snapToGrid w:val="0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ascii="楷体" w:hAnsi="楷体" w:eastAsia="楷体" w:cs="Arial"/>
                <w:b/>
                <w:kern w:val="0"/>
                <w:sz w:val="24"/>
              </w:rPr>
              <w:t>2</w:t>
            </w: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.作为合议庭成员因参与“葡萄牙宜达力公司与江西赛维公司、中国银行江西分行独立保函纠纷案”的审理获最高人民法院通报表扬</w:t>
            </w:r>
            <w:r>
              <w:rPr>
                <w:rFonts w:ascii="楷体" w:hAnsi="楷体" w:eastAsia="楷体" w:cs="Arial"/>
                <w:b/>
                <w:kern w:val="0"/>
                <w:sz w:val="24"/>
              </w:rPr>
              <w:t>（2015</w:t>
            </w: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年</w:t>
            </w:r>
            <w:r>
              <w:rPr>
                <w:rFonts w:ascii="楷体" w:hAnsi="楷体" w:eastAsia="楷体" w:cs="Arial"/>
                <w:b/>
                <w:kern w:val="0"/>
                <w:sz w:val="24"/>
              </w:rPr>
              <w:t>；</w:t>
            </w: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未定等级</w:t>
            </w:r>
            <w:r>
              <w:rPr>
                <w:rFonts w:ascii="楷体" w:hAnsi="楷体" w:eastAsia="楷体" w:cs="Arial"/>
                <w:b/>
                <w:kern w:val="0"/>
                <w:sz w:val="24"/>
              </w:rPr>
              <w:t>）</w:t>
            </w: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。</w:t>
            </w:r>
          </w:p>
          <w:p>
            <w:pPr>
              <w:tabs>
                <w:tab w:val="left" w:pos="4185"/>
              </w:tabs>
              <w:snapToGrid w:val="0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ascii="楷体" w:hAnsi="楷体" w:eastAsia="楷体" w:cs="Arial"/>
                <w:b/>
                <w:kern w:val="0"/>
                <w:sz w:val="24"/>
              </w:rPr>
              <w:t>3</w:t>
            </w: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.作为最高人民法院西部法官培训讲师团成员获最高人民法院嘉奖</w:t>
            </w:r>
            <w:r>
              <w:rPr>
                <w:rFonts w:ascii="楷体" w:hAnsi="楷体" w:eastAsia="楷体" w:cs="Arial"/>
                <w:b/>
                <w:kern w:val="0"/>
                <w:sz w:val="24"/>
              </w:rPr>
              <w:t>（</w:t>
            </w: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2006年，未定等级</w:t>
            </w:r>
            <w:r>
              <w:rPr>
                <w:rFonts w:ascii="楷体" w:hAnsi="楷体" w:eastAsia="楷体" w:cs="Arial"/>
                <w:b/>
                <w:kern w:val="0"/>
                <w:sz w:val="24"/>
              </w:rPr>
              <w:t>）。</w:t>
            </w:r>
          </w:p>
          <w:p>
            <w:pPr>
              <w:tabs>
                <w:tab w:val="left" w:pos="4185"/>
              </w:tabs>
              <w:snapToGrid w:val="0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ascii="楷体" w:hAnsi="楷体" w:eastAsia="楷体" w:cs="Arial"/>
                <w:b/>
                <w:kern w:val="0"/>
                <w:sz w:val="24"/>
              </w:rPr>
              <w:t>4.</w:t>
            </w: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作为最高人民法院西部法官培训讲师团成员获最高人民法院嘉奖</w:t>
            </w:r>
            <w:r>
              <w:rPr>
                <w:rFonts w:ascii="楷体" w:hAnsi="楷体" w:eastAsia="楷体" w:cs="Arial"/>
                <w:b/>
                <w:kern w:val="0"/>
                <w:sz w:val="24"/>
              </w:rPr>
              <w:t>（</w:t>
            </w: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2007年，未定等级</w:t>
            </w:r>
            <w:r>
              <w:rPr>
                <w:rFonts w:ascii="楷体" w:hAnsi="楷体" w:eastAsia="楷体" w:cs="Arial"/>
                <w:b/>
                <w:kern w:val="0"/>
                <w:sz w:val="24"/>
              </w:rPr>
              <w:t>）。</w:t>
            </w:r>
          </w:p>
          <w:p>
            <w:pPr>
              <w:tabs>
                <w:tab w:val="left" w:pos="4185"/>
              </w:tabs>
              <w:snapToGrid w:val="0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ascii="楷体" w:hAnsi="楷体" w:eastAsia="楷体" w:cs="Arial"/>
                <w:b/>
                <w:kern w:val="0"/>
                <w:sz w:val="24"/>
              </w:rPr>
              <w:t>5</w:t>
            </w: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.因在</w:t>
            </w:r>
            <w:r>
              <w:rPr>
                <w:rFonts w:ascii="楷体" w:hAnsi="楷体" w:eastAsia="楷体" w:cs="Arial"/>
                <w:b/>
                <w:kern w:val="0"/>
                <w:sz w:val="24"/>
              </w:rPr>
              <w:t>2013</w:t>
            </w: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年度工作中成绩突出</w:t>
            </w:r>
            <w:r>
              <w:rPr>
                <w:rFonts w:ascii="楷体" w:hAnsi="楷体" w:eastAsia="楷体" w:cs="Arial"/>
                <w:b/>
                <w:kern w:val="0"/>
                <w:sz w:val="24"/>
              </w:rPr>
              <w:t>，</w:t>
            </w: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获最高人民法院嘉奖</w:t>
            </w:r>
            <w:r>
              <w:rPr>
                <w:rFonts w:ascii="楷体" w:hAnsi="楷体" w:eastAsia="楷体" w:cs="Arial"/>
                <w:b/>
                <w:kern w:val="0"/>
                <w:sz w:val="24"/>
              </w:rPr>
              <w:t>（2014</w:t>
            </w: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年</w:t>
            </w:r>
            <w:r>
              <w:rPr>
                <w:rFonts w:ascii="楷体" w:hAnsi="楷体" w:eastAsia="楷体" w:cs="Arial"/>
                <w:b/>
                <w:kern w:val="0"/>
                <w:sz w:val="24"/>
              </w:rPr>
              <w:t>，</w:t>
            </w: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未定等级</w:t>
            </w:r>
            <w:r>
              <w:rPr>
                <w:rFonts w:ascii="楷体" w:hAnsi="楷体" w:eastAsia="楷体" w:cs="Arial"/>
                <w:b/>
                <w:kern w:val="0"/>
                <w:sz w:val="24"/>
              </w:rPr>
              <w:t>）。</w:t>
            </w:r>
          </w:p>
          <w:p>
            <w:pPr>
              <w:tabs>
                <w:tab w:val="left" w:pos="4185"/>
              </w:tabs>
              <w:snapToGrid w:val="0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ascii="楷体" w:hAnsi="楷体" w:eastAsia="楷体" w:cs="Arial"/>
                <w:b/>
                <w:kern w:val="0"/>
                <w:sz w:val="24"/>
              </w:rPr>
              <w:t>6</w:t>
            </w: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.因在</w:t>
            </w:r>
            <w:r>
              <w:rPr>
                <w:rFonts w:ascii="楷体" w:hAnsi="楷体" w:eastAsia="楷体" w:cs="Arial"/>
                <w:b/>
                <w:kern w:val="0"/>
                <w:sz w:val="24"/>
              </w:rPr>
              <w:t>2018</w:t>
            </w: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年度工作中成绩突出</w:t>
            </w:r>
            <w:r>
              <w:rPr>
                <w:rFonts w:ascii="楷体" w:hAnsi="楷体" w:eastAsia="楷体" w:cs="Arial"/>
                <w:b/>
                <w:kern w:val="0"/>
                <w:sz w:val="24"/>
              </w:rPr>
              <w:t>，</w:t>
            </w: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获最高人民法院嘉奖</w:t>
            </w:r>
            <w:r>
              <w:rPr>
                <w:rFonts w:ascii="楷体" w:hAnsi="楷体" w:eastAsia="楷体" w:cs="Arial"/>
                <w:b/>
                <w:kern w:val="0"/>
                <w:sz w:val="24"/>
              </w:rPr>
              <w:t>（2019</w:t>
            </w: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年</w:t>
            </w:r>
            <w:r>
              <w:rPr>
                <w:rFonts w:ascii="楷体" w:hAnsi="楷体" w:eastAsia="楷体" w:cs="Arial"/>
                <w:b/>
                <w:kern w:val="0"/>
                <w:sz w:val="24"/>
              </w:rPr>
              <w:t>，</w:t>
            </w: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未定等级</w:t>
            </w:r>
            <w:r>
              <w:rPr>
                <w:rFonts w:ascii="楷体" w:hAnsi="楷体" w:eastAsia="楷体" w:cs="Arial"/>
                <w:b/>
                <w:kern w:val="0"/>
                <w:sz w:val="24"/>
              </w:rPr>
              <w:t>）。</w:t>
            </w:r>
          </w:p>
          <w:p>
            <w:pPr>
              <w:tabs>
                <w:tab w:val="left" w:pos="4185"/>
              </w:tabs>
              <w:snapToGrid w:val="0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7.因在</w:t>
            </w:r>
            <w:r>
              <w:rPr>
                <w:rFonts w:ascii="楷体" w:hAnsi="楷体" w:eastAsia="楷体" w:cs="Arial"/>
                <w:b/>
                <w:kern w:val="0"/>
                <w:sz w:val="24"/>
              </w:rPr>
              <w:t>20</w:t>
            </w: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21年度工作中成绩突出</w:t>
            </w:r>
            <w:r>
              <w:rPr>
                <w:rFonts w:ascii="楷体" w:hAnsi="楷体" w:eastAsia="楷体" w:cs="Arial"/>
                <w:b/>
                <w:kern w:val="0"/>
                <w:sz w:val="24"/>
              </w:rPr>
              <w:t>，</w:t>
            </w: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获最高人民法院嘉奖</w:t>
            </w:r>
            <w:r>
              <w:rPr>
                <w:rFonts w:ascii="楷体" w:hAnsi="楷体" w:eastAsia="楷体" w:cs="Arial"/>
                <w:b/>
                <w:kern w:val="0"/>
                <w:sz w:val="24"/>
              </w:rPr>
              <w:t>（20</w:t>
            </w: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22年</w:t>
            </w:r>
            <w:r>
              <w:rPr>
                <w:rFonts w:ascii="楷体" w:hAnsi="楷体" w:eastAsia="楷体" w:cs="Arial"/>
                <w:b/>
                <w:kern w:val="0"/>
                <w:sz w:val="24"/>
              </w:rPr>
              <w:t>，</w:t>
            </w: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未定等级</w:t>
            </w:r>
            <w:r>
              <w:rPr>
                <w:rFonts w:ascii="楷体" w:hAnsi="楷体" w:eastAsia="楷体" w:cs="Arial"/>
                <w:b/>
                <w:kern w:val="0"/>
                <w:sz w:val="24"/>
              </w:rPr>
              <w:t>）。</w:t>
            </w:r>
          </w:p>
          <w:p>
            <w:pPr>
              <w:tabs>
                <w:tab w:val="left" w:pos="4185"/>
              </w:tabs>
              <w:snapToGrid w:val="0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8.因在</w:t>
            </w:r>
            <w:r>
              <w:rPr>
                <w:rFonts w:ascii="楷体" w:hAnsi="楷体" w:eastAsia="楷体" w:cs="Arial"/>
                <w:b/>
                <w:kern w:val="0"/>
                <w:sz w:val="24"/>
              </w:rPr>
              <w:t>2022</w:t>
            </w: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年度工作中成绩突出</w:t>
            </w:r>
            <w:r>
              <w:rPr>
                <w:rFonts w:ascii="楷体" w:hAnsi="楷体" w:eastAsia="楷体" w:cs="Arial"/>
                <w:b/>
                <w:kern w:val="0"/>
                <w:sz w:val="24"/>
              </w:rPr>
              <w:t>，</w:t>
            </w: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获最高人民法院嘉奖</w:t>
            </w:r>
            <w:r>
              <w:rPr>
                <w:rFonts w:ascii="楷体" w:hAnsi="楷体" w:eastAsia="楷体" w:cs="Arial"/>
                <w:b/>
                <w:kern w:val="0"/>
                <w:sz w:val="24"/>
              </w:rPr>
              <w:t>（2023</w:t>
            </w: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年</w:t>
            </w:r>
            <w:r>
              <w:rPr>
                <w:rFonts w:ascii="楷体" w:hAnsi="楷体" w:eastAsia="楷体" w:cs="Arial"/>
                <w:b/>
                <w:kern w:val="0"/>
                <w:sz w:val="24"/>
              </w:rPr>
              <w:t>，</w:t>
            </w: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未定等级</w:t>
            </w:r>
            <w:r>
              <w:rPr>
                <w:rFonts w:ascii="楷体" w:hAnsi="楷体" w:eastAsia="楷体" w:cs="Arial"/>
                <w:b/>
                <w:kern w:val="0"/>
                <w:sz w:val="24"/>
              </w:rPr>
              <w:t>）。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32"/>
                <w:szCs w:val="32"/>
              </w:rPr>
            </w:pPr>
          </w:p>
        </w:tc>
      </w:tr>
    </w:tbl>
    <w:p>
      <w:pPr>
        <w:spacing w:line="2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3201D8"/>
    <w:multiLevelType w:val="singleLevel"/>
    <w:tmpl w:val="A93201D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096AC3"/>
    <w:rsid w:val="000A6239"/>
    <w:rsid w:val="000F2BDF"/>
    <w:rsid w:val="00243669"/>
    <w:rsid w:val="002665C6"/>
    <w:rsid w:val="002C5A6B"/>
    <w:rsid w:val="003962EE"/>
    <w:rsid w:val="003A242E"/>
    <w:rsid w:val="003D2D63"/>
    <w:rsid w:val="00415F56"/>
    <w:rsid w:val="00476825"/>
    <w:rsid w:val="004B0246"/>
    <w:rsid w:val="0052358C"/>
    <w:rsid w:val="00591E59"/>
    <w:rsid w:val="005D2802"/>
    <w:rsid w:val="005D5BF9"/>
    <w:rsid w:val="00660B53"/>
    <w:rsid w:val="006F67C8"/>
    <w:rsid w:val="007245C8"/>
    <w:rsid w:val="007742F2"/>
    <w:rsid w:val="00777BB8"/>
    <w:rsid w:val="007D68B9"/>
    <w:rsid w:val="00824656"/>
    <w:rsid w:val="00837BCA"/>
    <w:rsid w:val="008F6BF0"/>
    <w:rsid w:val="00956368"/>
    <w:rsid w:val="00A41F56"/>
    <w:rsid w:val="00B54792"/>
    <w:rsid w:val="00C10ABB"/>
    <w:rsid w:val="00CF7DB5"/>
    <w:rsid w:val="00D036FE"/>
    <w:rsid w:val="00D03C06"/>
    <w:rsid w:val="00E224A6"/>
    <w:rsid w:val="00E27607"/>
    <w:rsid w:val="00E40C72"/>
    <w:rsid w:val="00E63EE5"/>
    <w:rsid w:val="00F4001C"/>
    <w:rsid w:val="00F60C54"/>
    <w:rsid w:val="00FB06D9"/>
    <w:rsid w:val="00FC7BCE"/>
    <w:rsid w:val="1EBD9178"/>
    <w:rsid w:val="2CEFB339"/>
    <w:rsid w:val="2EFBBC48"/>
    <w:rsid w:val="35FF4A26"/>
    <w:rsid w:val="3B554A56"/>
    <w:rsid w:val="3B9D0C2F"/>
    <w:rsid w:val="3BBF1B45"/>
    <w:rsid w:val="3C7958C5"/>
    <w:rsid w:val="3DDF93AC"/>
    <w:rsid w:val="3DFF8C80"/>
    <w:rsid w:val="3F777E13"/>
    <w:rsid w:val="3FAC72FC"/>
    <w:rsid w:val="3FDF6C0E"/>
    <w:rsid w:val="3FE72CC8"/>
    <w:rsid w:val="3FE95ABC"/>
    <w:rsid w:val="56EEFD7E"/>
    <w:rsid w:val="57B74E1B"/>
    <w:rsid w:val="591FD8F5"/>
    <w:rsid w:val="594A475D"/>
    <w:rsid w:val="5AAC40BB"/>
    <w:rsid w:val="5BCDC1B1"/>
    <w:rsid w:val="5CCA73B7"/>
    <w:rsid w:val="5D5B6B57"/>
    <w:rsid w:val="5DD32290"/>
    <w:rsid w:val="5DF46E1D"/>
    <w:rsid w:val="5DFEE7D4"/>
    <w:rsid w:val="5F3743E3"/>
    <w:rsid w:val="5FBC2178"/>
    <w:rsid w:val="67272FC9"/>
    <w:rsid w:val="6DF554B0"/>
    <w:rsid w:val="6DFBD74F"/>
    <w:rsid w:val="6F9B4CF3"/>
    <w:rsid w:val="6FAF0381"/>
    <w:rsid w:val="6FFF2EC6"/>
    <w:rsid w:val="7467F6ED"/>
    <w:rsid w:val="75BF84EE"/>
    <w:rsid w:val="7A8FFAC6"/>
    <w:rsid w:val="7AFB59A5"/>
    <w:rsid w:val="7BDFCBFF"/>
    <w:rsid w:val="7CFECE28"/>
    <w:rsid w:val="7DB18C74"/>
    <w:rsid w:val="7DBAEB37"/>
    <w:rsid w:val="7DBF1A34"/>
    <w:rsid w:val="7DEB2C32"/>
    <w:rsid w:val="7DFF523D"/>
    <w:rsid w:val="7E5F3199"/>
    <w:rsid w:val="7E79EB46"/>
    <w:rsid w:val="7ED73893"/>
    <w:rsid w:val="7EE922E9"/>
    <w:rsid w:val="7EED552D"/>
    <w:rsid w:val="7EF35ADA"/>
    <w:rsid w:val="7F6B6D36"/>
    <w:rsid w:val="7F7B04A8"/>
    <w:rsid w:val="7F7EF37E"/>
    <w:rsid w:val="7F7F947A"/>
    <w:rsid w:val="7F9F5E7C"/>
    <w:rsid w:val="7FA5EC14"/>
    <w:rsid w:val="7FD7D6B2"/>
    <w:rsid w:val="7FF37BAA"/>
    <w:rsid w:val="7FFD9C8B"/>
    <w:rsid w:val="7FFF99D8"/>
    <w:rsid w:val="953FAA31"/>
    <w:rsid w:val="9DBC5BFE"/>
    <w:rsid w:val="A7EB79A2"/>
    <w:rsid w:val="ABC2528A"/>
    <w:rsid w:val="ABFD3B40"/>
    <w:rsid w:val="ABFF5D13"/>
    <w:rsid w:val="AE8F304D"/>
    <w:rsid w:val="AFFF087D"/>
    <w:rsid w:val="B66FC1BA"/>
    <w:rsid w:val="B7D56515"/>
    <w:rsid w:val="B9EF54B5"/>
    <w:rsid w:val="BA7F7650"/>
    <w:rsid w:val="BB55CF0E"/>
    <w:rsid w:val="BE3FDE16"/>
    <w:rsid w:val="BEF68DDD"/>
    <w:rsid w:val="BEFF65E4"/>
    <w:rsid w:val="BFDF9B87"/>
    <w:rsid w:val="BFF0FFD0"/>
    <w:rsid w:val="CE3FCBBB"/>
    <w:rsid w:val="CFDF4138"/>
    <w:rsid w:val="D7371D03"/>
    <w:rsid w:val="D7FE4373"/>
    <w:rsid w:val="DBEF305F"/>
    <w:rsid w:val="DE7F24A6"/>
    <w:rsid w:val="DFEF6C99"/>
    <w:rsid w:val="DFFFEB29"/>
    <w:rsid w:val="E9FFE041"/>
    <w:rsid w:val="ED661AE8"/>
    <w:rsid w:val="EDFF9236"/>
    <w:rsid w:val="EEFDCF1B"/>
    <w:rsid w:val="EF358C7A"/>
    <w:rsid w:val="EFBFEC5E"/>
    <w:rsid w:val="EFFF433D"/>
    <w:rsid w:val="F2715785"/>
    <w:rsid w:val="F3D759E3"/>
    <w:rsid w:val="F7AF7DD2"/>
    <w:rsid w:val="F8FCFD36"/>
    <w:rsid w:val="F97DB318"/>
    <w:rsid w:val="FAFBA160"/>
    <w:rsid w:val="FBDBA10B"/>
    <w:rsid w:val="FBF77622"/>
    <w:rsid w:val="FD9060F1"/>
    <w:rsid w:val="FE7F89ED"/>
    <w:rsid w:val="FEF2792F"/>
    <w:rsid w:val="FF1BAFA7"/>
    <w:rsid w:val="FF3FA724"/>
    <w:rsid w:val="FF6D7F3E"/>
    <w:rsid w:val="FFAD001C"/>
    <w:rsid w:val="FFBF67D3"/>
    <w:rsid w:val="FFD77033"/>
    <w:rsid w:val="FFDF0FB2"/>
    <w:rsid w:val="FFF5B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批注框文本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5314</Words>
  <Characters>5897</Characters>
  <Lines>64</Lines>
  <Paragraphs>18</Paragraphs>
  <TotalTime>240</TotalTime>
  <ScaleCrop>false</ScaleCrop>
  <LinksUpToDate>false</LinksUpToDate>
  <CharactersWithSpaces>6010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2022-12-29T19:44:00Z</dcterms:created>
  <dc:creator>fxhuser</dc:creator>
  <cp:lastModifiedBy>执牛耳</cp:lastModifiedBy>
  <cp:lastPrinted>2023-02-07T10:35:00Z</cp:lastPrinted>
  <dcterms:modified xsi:type="dcterms:W3CDTF">2023-04-27T06:45:58Z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06E3BF04B7DA18C077EFDD63222F2E46</vt:lpwstr>
  </property>
</Properties>
</file>