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刘昕杰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四川大学法学院 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四川大学法学院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p>
      <w:pPr>
        <w:snapToGrid w:val="0"/>
        <w:rPr>
          <w:rFonts w:ascii="华文中宋" w:hAnsi="华文中宋" w:eastAsia="华文中宋"/>
          <w:b/>
          <w:color w:val="000000"/>
          <w:sz w:val="30"/>
          <w:szCs w:val="30"/>
        </w:rPr>
      </w:pPr>
      <w:r>
        <w:rPr>
          <w:rFonts w:hint="eastAsia" w:ascii="华文中宋" w:hAnsi="华文中宋" w:eastAsia="华文中宋"/>
          <w:b/>
          <w:color w:val="000000"/>
          <w:sz w:val="30"/>
          <w:szCs w:val="30"/>
        </w:rPr>
        <w:br w:type="page"/>
      </w: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ind w:firstLine="240" w:firstLineChars="1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刘昕杰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ind w:firstLine="240" w:firstLineChars="1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114300" distR="114300">
                  <wp:extent cx="1011555" cy="1415415"/>
                  <wp:effectExtent l="0" t="0" r="7620" b="3810"/>
                  <wp:docPr id="1" name="图片 1" descr="微信图片_20191223110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12231104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141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ind w:firstLine="240" w:firstLineChars="1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sz w:val="24"/>
              </w:rPr>
              <w:t>1981-07-15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ind w:firstLine="240" w:firstLineChars="1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土家族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ind w:firstLine="240" w:firstLineChars="1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无党派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ind w:firstLine="240" w:firstLineChars="1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ind w:firstLine="240" w:firstLineChars="1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ind w:firstLine="240" w:firstLineChars="1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ind w:firstLine="240" w:firstLineChars="1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四川大学法学院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ind w:firstLine="240" w:firstLineChars="1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ind w:firstLine="240" w:firstLineChars="1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四川省成都市双流区川大路四川大学江安校区法学院大楼</w:t>
            </w:r>
          </w:p>
        </w:tc>
      </w:tr>
    </w:tbl>
    <w:p>
      <w:pPr>
        <w:tabs>
          <w:tab w:val="left" w:pos="4185"/>
        </w:tabs>
        <w:snapToGrid w:val="0"/>
        <w:spacing w:before="156" w:beforeLines="50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br w:type="page"/>
      </w:r>
    </w:p>
    <w:tbl>
      <w:tblPr>
        <w:tblStyle w:val="5"/>
        <w:tblpPr w:leftFromText="180" w:rightFromText="180" w:vertAnchor="text" w:horzAnchor="page" w:tblpX="1732" w:tblpY="1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0" w:type="dxa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  <w:tab w:val="left" w:pos="5110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ab/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ab/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一、著作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Cs/>
                <w:sz w:val="24"/>
              </w:rPr>
              <w:t>1.</w:t>
            </w:r>
            <w:r>
              <w:rPr>
                <w:rFonts w:eastAsia="楷体"/>
                <w:b/>
                <w:sz w:val="24"/>
              </w:rPr>
              <w:t>独著《后民法典时代的司法实践：民国四川基层诉讼中的法律与习惯（1935-1949）》，社会科学文献出版社2022年出版，15万字，获2022年四川大学哲学社会科学优秀成果奖。</w:t>
            </w:r>
            <w:r>
              <w:rPr>
                <w:rFonts w:hint="eastAsia" w:eastAsia="楷体"/>
                <w:b/>
                <w:sz w:val="24"/>
              </w:rPr>
              <w:t>本书内已刊论文共被引171次，其中整书（含原版与修订版）共被引35次。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2.整理《民国时期最高法院判例要旨（1927-1940）》，法律出版社2022年出版，120万字；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3.主编《法学教育近代化的地方实践》，四川大学出版社2022年出版，16万字；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4.独著《民法典如何实现：民国新繁县法律实践中权利与习惯》，中国政法大学2011年版，25万字；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5.主编《法律史评论》（CSSCI来源集刊，半年刊）</w:t>
            </w:r>
            <w:r>
              <w:rPr>
                <w:rFonts w:hint="eastAsia" w:eastAsia="楷体"/>
                <w:bCs/>
                <w:sz w:val="24"/>
              </w:rPr>
              <w:t>，每卷40万字</w:t>
            </w:r>
            <w:r>
              <w:rPr>
                <w:rFonts w:eastAsia="楷体"/>
                <w:bCs/>
                <w:sz w:val="24"/>
              </w:rPr>
              <w:t>；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6.主编《四川大学法律评论》（年刊）</w:t>
            </w:r>
            <w:r>
              <w:rPr>
                <w:rFonts w:hint="eastAsia" w:eastAsia="楷体"/>
                <w:bCs/>
                <w:sz w:val="24"/>
              </w:rPr>
              <w:t>，每卷30万字</w:t>
            </w:r>
            <w:r>
              <w:rPr>
                <w:rFonts w:eastAsia="楷体"/>
                <w:bCs/>
                <w:sz w:val="24"/>
              </w:rPr>
              <w:t>；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7.合著《民国时期基层社会纠纷及其裁断》，</w:t>
            </w:r>
            <w:r>
              <w:rPr>
                <w:rFonts w:hint="eastAsia" w:eastAsia="楷体"/>
                <w:bCs/>
                <w:sz w:val="24"/>
              </w:rPr>
              <w:t>20万字，</w:t>
            </w:r>
            <w:r>
              <w:rPr>
                <w:rFonts w:eastAsia="楷体"/>
                <w:bCs/>
                <w:sz w:val="24"/>
              </w:rPr>
              <w:t>四川省哲学社会科学成果三等奖。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</w:p>
          <w:p>
            <w:pPr>
              <w:spacing w:line="360" w:lineRule="auto"/>
              <w:ind w:firstLine="422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/>
                <w:sz w:val="24"/>
              </w:rPr>
              <w:t>二、主要论文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hint="eastAsia" w:eastAsia="楷体"/>
                <w:b/>
                <w:sz w:val="24"/>
              </w:rPr>
              <w:t>（一）</w:t>
            </w:r>
            <w:r>
              <w:rPr>
                <w:rFonts w:eastAsia="楷体"/>
                <w:b/>
                <w:sz w:val="24"/>
              </w:rPr>
              <w:t>权威核心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 xml:space="preserve">1.成文法背景下的判例实践——近代中国最高审判机构判例汇编与实效 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 xml:space="preserve"> 《法学研究》 2021（05）第193-208页  权威核心 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 xml:space="preserve"> 《人大复印资料（法理学法史学）》2022（2）全文转载</w:t>
            </w:r>
            <w:r>
              <w:rPr>
                <w:rFonts w:hint="eastAsia" w:eastAsia="楷体"/>
                <w:b/>
                <w:sz w:val="24"/>
              </w:rPr>
              <w:t xml:space="preserve">  被引次数2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2.实验法院:近代中国司法改革的一次地方试点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《中国法学》2015(05) 第206-222页 权威核心；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《人大复印资料（法理学法史学）》2016（2）全文转载</w:t>
            </w:r>
            <w:r>
              <w:rPr>
                <w:rFonts w:hint="eastAsia" w:eastAsia="楷体"/>
                <w:b/>
                <w:sz w:val="24"/>
              </w:rPr>
              <w:t xml:space="preserve">   被引次数14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中国法律文化研究成果二等奖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hint="eastAsia" w:eastAsia="楷体"/>
                <w:b/>
                <w:sz w:val="24"/>
              </w:rPr>
              <w:t>（二）</w:t>
            </w:r>
            <w:r>
              <w:rPr>
                <w:rFonts w:eastAsia="楷体"/>
                <w:b/>
                <w:sz w:val="24"/>
              </w:rPr>
              <w:t>重要期刊</w:t>
            </w:r>
            <w:r>
              <w:rPr>
                <w:rFonts w:hint="eastAsia" w:eastAsia="楷体"/>
                <w:b/>
                <w:sz w:val="24"/>
              </w:rPr>
              <w:t>和转载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3.民国学者对民初大理院判例制度的研究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 xml:space="preserve">《东方法学》2011(05)第83-89页 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《人大复印资料（法理学法史学）》2012(03)全文转载</w:t>
            </w:r>
            <w:r>
              <w:rPr>
                <w:rFonts w:eastAsia="楷体"/>
                <w:b/>
                <w:sz w:val="24"/>
              </w:rPr>
              <w:tab/>
            </w:r>
            <w:r>
              <w:rPr>
                <w:rFonts w:hint="eastAsia" w:eastAsia="楷体"/>
                <w:b/>
                <w:sz w:val="24"/>
              </w:rPr>
              <w:t>被引次数 21</w:t>
            </w:r>
            <w:r>
              <w:rPr>
                <w:rFonts w:eastAsia="楷体"/>
                <w:b/>
                <w:sz w:val="24"/>
              </w:rPr>
              <w:tab/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4.后民法典时代的法律实践:传统民事制度的法典化类型与民国基层诉讼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 xml:space="preserve">《四川大学学报》2020(01)第131-137页  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《人大复印资料（法理学法史学）》2020（6）全文转载</w:t>
            </w:r>
            <w:r>
              <w:rPr>
                <w:rFonts w:eastAsia="楷体"/>
                <w:b/>
                <w:sz w:val="24"/>
              </w:rPr>
              <w:tab/>
            </w:r>
            <w:r>
              <w:rPr>
                <w:rFonts w:hint="eastAsia" w:eastAsia="楷体"/>
                <w:b/>
                <w:sz w:val="24"/>
              </w:rPr>
              <w:t xml:space="preserve"> 被引次数 8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5.近代中国基层司法中的批词研究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 xml:space="preserve">《政法论丛》2011(02)第117-122页 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《中国社会科学文摘》2011(09)全文转载</w:t>
            </w:r>
            <w:r>
              <w:rPr>
                <w:rFonts w:hint="eastAsia" w:eastAsia="楷体"/>
                <w:b/>
                <w:sz w:val="24"/>
              </w:rPr>
              <w:t xml:space="preserve">              被引次数17</w:t>
            </w:r>
          </w:p>
          <w:p>
            <w:pPr>
              <w:spacing w:line="360" w:lineRule="auto"/>
              <w:ind w:firstLine="422" w:firstLineChars="175"/>
              <w:rPr>
                <w:rFonts w:eastAsia="楷体"/>
                <w:b/>
                <w:sz w:val="24"/>
              </w:rPr>
            </w:pPr>
            <w:r>
              <w:rPr>
                <w:rFonts w:hint="eastAsia" w:eastAsia="楷体"/>
                <w:b/>
                <w:sz w:val="24"/>
              </w:rPr>
              <w:t>（三）</w:t>
            </w:r>
            <w:r>
              <w:rPr>
                <w:rFonts w:eastAsia="楷体"/>
                <w:b/>
                <w:sz w:val="24"/>
              </w:rPr>
              <w:t>核心期刊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 xml:space="preserve"> 6.引“情”入法:清代州县诉讼中习惯如何影响审断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《山东大学学报》2009(01)第18-23页</w:t>
            </w:r>
            <w:r>
              <w:rPr>
                <w:rFonts w:hint="eastAsia" w:eastAsia="楷体"/>
                <w:bCs/>
                <w:sz w:val="24"/>
              </w:rPr>
              <w:t xml:space="preserve">               被引次数 22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7.“中国法的历史”还是“西方法在中国的历史”——中国法律史研究的再思考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《社会科学研究》，2009(04)第86-91页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hint="eastAsia" w:eastAsia="楷体"/>
                <w:bCs/>
                <w:sz w:val="24"/>
              </w:rPr>
              <w:t>《光明日报》转载、《中国社会科学文摘》论点摘编  被引次数 32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8.以和为贵:民国时期基层民事纠纷中的调解</w:t>
            </w:r>
            <w:r>
              <w:rPr>
                <w:rFonts w:eastAsia="楷体"/>
                <w:bCs/>
                <w:sz w:val="24"/>
              </w:rPr>
              <w:tab/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《山东大学学报》2011(04)第39-45页</w:t>
            </w:r>
            <w:r>
              <w:rPr>
                <w:rFonts w:eastAsia="楷体"/>
                <w:bCs/>
                <w:sz w:val="24"/>
              </w:rPr>
              <w:tab/>
            </w:r>
            <w:r>
              <w:rPr>
                <w:rFonts w:hint="eastAsia" w:eastAsia="楷体"/>
                <w:bCs/>
                <w:sz w:val="24"/>
              </w:rPr>
              <w:t xml:space="preserve">             被引次数 31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9.实用型司法:近代中国基层民事审判传统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《四川大学学报》2011(02)第30-37页</w:t>
            </w:r>
            <w:r>
              <w:rPr>
                <w:rFonts w:eastAsia="楷体"/>
                <w:bCs/>
                <w:sz w:val="24"/>
              </w:rPr>
              <w:tab/>
            </w:r>
            <w:r>
              <w:rPr>
                <w:rFonts w:hint="eastAsia" w:eastAsia="楷体"/>
                <w:bCs/>
                <w:sz w:val="24"/>
              </w:rPr>
              <w:t xml:space="preserve">             被引次数 27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10.在法律与历史之间:历史法学及其中国意义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《西南民族大学学报》2020（07）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11.传统权利的去精神化境遇:民国坟产纠纷的法律规范与司法实践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《法治现代化研究》2019.3(05) 第122-133页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12.我国民法典编纂史上习惯规范的变迁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 xml:space="preserve">《民间法》2021(03)第121-135页 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13.“法与时转则治”：陈启天的新法家思想</w:t>
            </w:r>
            <w:r>
              <w:rPr>
                <w:rFonts w:eastAsia="楷体"/>
                <w:bCs/>
                <w:sz w:val="24"/>
              </w:rPr>
              <w:tab/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《原道》2020年卷，第164-176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14.平武外役监：国民政府时期监犯移垦与监狱改良的地方试点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《近代中国》2019(02)</w:t>
            </w:r>
            <w:r>
              <w:rPr>
                <w:rFonts w:hint="eastAsia" w:eastAsia="楷体"/>
                <w:bCs/>
                <w:sz w:val="24"/>
              </w:rPr>
              <w:t>，</w:t>
            </w:r>
            <w:r>
              <w:rPr>
                <w:rFonts w:eastAsia="楷体"/>
                <w:bCs/>
                <w:sz w:val="24"/>
              </w:rPr>
              <w:t>第31-51页</w:t>
            </w:r>
          </w:p>
        </w:tc>
      </w:tr>
    </w:tbl>
    <w:p>
      <w:pPr>
        <w:tabs>
          <w:tab w:val="left" w:pos="4185"/>
        </w:tabs>
        <w:snapToGrid w:val="0"/>
        <w:spacing w:before="156" w:beforeLines="50"/>
        <w:jc w:val="center"/>
        <w:rPr>
          <w:rFonts w:ascii="宋体" w:hAnsi="宋体"/>
          <w:b/>
          <w:color w:val="000000"/>
          <w:sz w:val="30"/>
          <w:szCs w:val="30"/>
        </w:rPr>
      </w:pPr>
    </w:p>
    <w:tbl>
      <w:tblPr>
        <w:tblStyle w:val="5"/>
        <w:tblpPr w:leftFromText="180" w:rightFromText="180" w:vertAnchor="text" w:horzAnchor="page" w:tblpX="1732" w:tblpY="1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 xml:space="preserve">   </w:t>
            </w:r>
          </w:p>
          <w:p>
            <w:pPr>
              <w:tabs>
                <w:tab w:val="left" w:pos="4185"/>
              </w:tabs>
              <w:snapToGrid w:val="0"/>
              <w:ind w:firstLine="723" w:firstLineChars="300"/>
              <w:rPr>
                <w:b/>
                <w:kern w:val="0"/>
                <w:sz w:val="24"/>
              </w:rPr>
            </w:pPr>
            <w:r>
              <w:rPr>
                <w:rFonts w:hint="eastAsia" w:eastAsia="楷体"/>
                <w:b/>
                <w:sz w:val="24"/>
              </w:rPr>
              <w:t>一、</w:t>
            </w:r>
            <w:r>
              <w:rPr>
                <w:rFonts w:eastAsia="楷体"/>
                <w:b/>
                <w:sz w:val="24"/>
              </w:rPr>
              <w:t>科研类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2021 中国法律文化研究成果奖二等奖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2010 四川省第十四次哲学社会科学优秀成果奖三等奖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2022 四川大学哲学社会科学优秀成果奖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</w:p>
          <w:p>
            <w:pPr>
              <w:spacing w:line="360" w:lineRule="auto"/>
              <w:ind w:firstLine="663" w:firstLineChars="275"/>
              <w:rPr>
                <w:rFonts w:eastAsia="楷体"/>
                <w:b/>
                <w:sz w:val="24"/>
              </w:rPr>
            </w:pPr>
            <w:r>
              <w:rPr>
                <w:rFonts w:hint="eastAsia" w:eastAsia="楷体"/>
                <w:b/>
                <w:sz w:val="24"/>
              </w:rPr>
              <w:t>二、</w:t>
            </w:r>
            <w:r>
              <w:rPr>
                <w:rFonts w:eastAsia="楷体"/>
                <w:b/>
                <w:sz w:val="24"/>
              </w:rPr>
              <w:t>人才类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2020 四川省天府万人计划“天府社科菁英”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 xml:space="preserve">2021 四川省学术与技术带头人后备人选 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2015 教育部中央政法委“双千计划”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</w:p>
          <w:p>
            <w:pPr>
              <w:spacing w:line="360" w:lineRule="auto"/>
              <w:ind w:firstLine="663" w:firstLineChars="275"/>
              <w:rPr>
                <w:rFonts w:eastAsia="楷体"/>
                <w:b/>
                <w:sz w:val="24"/>
              </w:rPr>
            </w:pPr>
            <w:r>
              <w:rPr>
                <w:rFonts w:hint="eastAsia" w:eastAsia="楷体"/>
                <w:b/>
                <w:sz w:val="24"/>
              </w:rPr>
              <w:t>三、</w:t>
            </w:r>
            <w:r>
              <w:rPr>
                <w:rFonts w:eastAsia="楷体"/>
                <w:b/>
                <w:sz w:val="24"/>
              </w:rPr>
              <w:t>教学类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2022 第十七届“挑战杯”全国大学生课外学术科技作品竞赛一等奖指导老师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2022 四川大学全国大学生课外学术科技作品竞赛优秀指导教师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2021 四川省大学生课外学术科技作品竞赛一等奖指导老师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2022 四川大学教学成果奖一等奖</w:t>
            </w:r>
          </w:p>
          <w:p>
            <w:pPr>
              <w:spacing w:line="360" w:lineRule="auto"/>
              <w:ind w:firstLine="420" w:firstLineChars="175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 xml:space="preserve">2022 四川大学学生创新创业大赛三等奖 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5CDBE2D-BDE1-426C-8CAE-C15B8601A0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4207AFE-E469-4DEF-8FDD-C7F6D25712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70CCD1D-97DB-4A42-B607-41332C84B2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8FD6FE4-CCD6-4165-B95F-A893830C0CB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131C25D-61DB-4D04-BBB9-843A4A123DA7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6" w:fontKey="{69FF55FD-840E-403F-9C6D-BEBBE450FD3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95C95A84-343A-4D89-88F6-DB14D410823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43CD6E54-478C-43FC-B652-B5B11A449DC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B573F747-D774-4E67-849C-ABE1F2EC63C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0" w:fontKey="{91587049-F055-4721-BADE-EEDF61F82BA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1483F"/>
    <w:rsid w:val="000F51DC"/>
    <w:rsid w:val="000F798F"/>
    <w:rsid w:val="00101301"/>
    <w:rsid w:val="00152C0B"/>
    <w:rsid w:val="00261B34"/>
    <w:rsid w:val="0027078D"/>
    <w:rsid w:val="002A5DF1"/>
    <w:rsid w:val="002C1D9D"/>
    <w:rsid w:val="002E3814"/>
    <w:rsid w:val="002F055C"/>
    <w:rsid w:val="00303A52"/>
    <w:rsid w:val="003725D1"/>
    <w:rsid w:val="00380A5D"/>
    <w:rsid w:val="003A59AE"/>
    <w:rsid w:val="003D061C"/>
    <w:rsid w:val="00436D99"/>
    <w:rsid w:val="004506E0"/>
    <w:rsid w:val="0052358C"/>
    <w:rsid w:val="0058169A"/>
    <w:rsid w:val="005E3762"/>
    <w:rsid w:val="005F4DF2"/>
    <w:rsid w:val="006254AA"/>
    <w:rsid w:val="00632DB5"/>
    <w:rsid w:val="00637DA0"/>
    <w:rsid w:val="006B3F81"/>
    <w:rsid w:val="006C3FAF"/>
    <w:rsid w:val="00753E96"/>
    <w:rsid w:val="00767F7C"/>
    <w:rsid w:val="007C5100"/>
    <w:rsid w:val="007D016C"/>
    <w:rsid w:val="00800BEF"/>
    <w:rsid w:val="00811B83"/>
    <w:rsid w:val="00892CDF"/>
    <w:rsid w:val="008A12F0"/>
    <w:rsid w:val="008A4C81"/>
    <w:rsid w:val="008E545F"/>
    <w:rsid w:val="008F101C"/>
    <w:rsid w:val="00936E10"/>
    <w:rsid w:val="00960BB8"/>
    <w:rsid w:val="00A04363"/>
    <w:rsid w:val="00A06E98"/>
    <w:rsid w:val="00A2283D"/>
    <w:rsid w:val="00B4797B"/>
    <w:rsid w:val="00B66342"/>
    <w:rsid w:val="00B75324"/>
    <w:rsid w:val="00BA2410"/>
    <w:rsid w:val="00BE645D"/>
    <w:rsid w:val="00C13742"/>
    <w:rsid w:val="00C43C98"/>
    <w:rsid w:val="00C61D0C"/>
    <w:rsid w:val="00C63701"/>
    <w:rsid w:val="00C64AE5"/>
    <w:rsid w:val="00C71F9A"/>
    <w:rsid w:val="00C741AC"/>
    <w:rsid w:val="00C960F9"/>
    <w:rsid w:val="00D658C7"/>
    <w:rsid w:val="00E41BD2"/>
    <w:rsid w:val="00E50279"/>
    <w:rsid w:val="00E96C24"/>
    <w:rsid w:val="00EA6743"/>
    <w:rsid w:val="00EF4322"/>
    <w:rsid w:val="00F05B16"/>
    <w:rsid w:val="00F63812"/>
    <w:rsid w:val="00F6755B"/>
    <w:rsid w:val="00FA1A3A"/>
    <w:rsid w:val="00FB06D9"/>
    <w:rsid w:val="03D8291E"/>
    <w:rsid w:val="04B32921"/>
    <w:rsid w:val="084542FA"/>
    <w:rsid w:val="0865499C"/>
    <w:rsid w:val="097F55EA"/>
    <w:rsid w:val="0C3456F1"/>
    <w:rsid w:val="0F4F4D46"/>
    <w:rsid w:val="0FCD39AC"/>
    <w:rsid w:val="0FE10DAC"/>
    <w:rsid w:val="121C30E5"/>
    <w:rsid w:val="145C697C"/>
    <w:rsid w:val="167F317C"/>
    <w:rsid w:val="179606CE"/>
    <w:rsid w:val="19526877"/>
    <w:rsid w:val="1D012A8E"/>
    <w:rsid w:val="1E257A28"/>
    <w:rsid w:val="1EBD9178"/>
    <w:rsid w:val="20E505F5"/>
    <w:rsid w:val="23F0560A"/>
    <w:rsid w:val="2499362A"/>
    <w:rsid w:val="24D665AE"/>
    <w:rsid w:val="24FA6740"/>
    <w:rsid w:val="28D93976"/>
    <w:rsid w:val="29D76495"/>
    <w:rsid w:val="2C561EEC"/>
    <w:rsid w:val="2CEFB339"/>
    <w:rsid w:val="2EFBBC48"/>
    <w:rsid w:val="2FA664DD"/>
    <w:rsid w:val="322C5A5F"/>
    <w:rsid w:val="330A6E2F"/>
    <w:rsid w:val="347D3586"/>
    <w:rsid w:val="35436125"/>
    <w:rsid w:val="36DD1A1E"/>
    <w:rsid w:val="387B2E2A"/>
    <w:rsid w:val="3B9D0C2F"/>
    <w:rsid w:val="3BBF1B45"/>
    <w:rsid w:val="3BD816D7"/>
    <w:rsid w:val="3D8810B1"/>
    <w:rsid w:val="3DFF8C80"/>
    <w:rsid w:val="3E5A656F"/>
    <w:rsid w:val="3EAD5BEF"/>
    <w:rsid w:val="3EDC1A31"/>
    <w:rsid w:val="3FAC72FC"/>
    <w:rsid w:val="3FDF6C0E"/>
    <w:rsid w:val="3FE95ABC"/>
    <w:rsid w:val="45967968"/>
    <w:rsid w:val="47422570"/>
    <w:rsid w:val="47600093"/>
    <w:rsid w:val="47D63AEE"/>
    <w:rsid w:val="48083C1B"/>
    <w:rsid w:val="4AE90145"/>
    <w:rsid w:val="4CD44AD7"/>
    <w:rsid w:val="4E323FA5"/>
    <w:rsid w:val="4F3D4D61"/>
    <w:rsid w:val="514019FA"/>
    <w:rsid w:val="524E125C"/>
    <w:rsid w:val="532A0445"/>
    <w:rsid w:val="5350578A"/>
    <w:rsid w:val="537D4134"/>
    <w:rsid w:val="540D674C"/>
    <w:rsid w:val="55284354"/>
    <w:rsid w:val="56EEFD7E"/>
    <w:rsid w:val="573963A5"/>
    <w:rsid w:val="57B74E1B"/>
    <w:rsid w:val="57C8766C"/>
    <w:rsid w:val="57FB5D50"/>
    <w:rsid w:val="591FD8F5"/>
    <w:rsid w:val="5AAC40BB"/>
    <w:rsid w:val="5C8F6A67"/>
    <w:rsid w:val="5DB42C29"/>
    <w:rsid w:val="5DD32290"/>
    <w:rsid w:val="5DF46E1D"/>
    <w:rsid w:val="5DFEE7D4"/>
    <w:rsid w:val="5F3743E3"/>
    <w:rsid w:val="5FBC2178"/>
    <w:rsid w:val="620A12CA"/>
    <w:rsid w:val="62B27141"/>
    <w:rsid w:val="63581130"/>
    <w:rsid w:val="639916D7"/>
    <w:rsid w:val="64DC3DB0"/>
    <w:rsid w:val="656E63DF"/>
    <w:rsid w:val="6838567B"/>
    <w:rsid w:val="699E02E9"/>
    <w:rsid w:val="6BDD334B"/>
    <w:rsid w:val="6D8F68C7"/>
    <w:rsid w:val="6E0B1F00"/>
    <w:rsid w:val="6E7D5030"/>
    <w:rsid w:val="6F7253A2"/>
    <w:rsid w:val="6F9B4CF3"/>
    <w:rsid w:val="6FAF0381"/>
    <w:rsid w:val="6FFF2EC6"/>
    <w:rsid w:val="70491FB3"/>
    <w:rsid w:val="72734A09"/>
    <w:rsid w:val="765B1A3C"/>
    <w:rsid w:val="788B637D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9E7F0C53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7D7A915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D809B8B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4580</Words>
  <Characters>5227</Characters>
  <Lines>55</Lines>
  <Paragraphs>15</Paragraphs>
  <TotalTime>10</TotalTime>
  <ScaleCrop>false</ScaleCrop>
  <LinksUpToDate>false</LinksUpToDate>
  <CharactersWithSpaces>5542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2023-03-11T04:15:00Z</dcterms:created>
  <dc:creator>fxhuser</dc:creator>
  <cp:lastModifiedBy>执牛耳</cp:lastModifiedBy>
  <cp:lastPrinted>2022-12-29T00:41:00Z</cp:lastPrinted>
  <dcterms:modified xsi:type="dcterms:W3CDTF">2023-04-27T06:29:29Z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5DCE1F5208D943A5847BCBEF79870D3A</vt:lpwstr>
  </property>
</Properties>
</file>