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陈  实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中南财经政法大学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中南财经政法大学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snapToGrid w:val="0"/>
        <w:rPr>
          <w:rFonts w:hint="eastAsia" w:ascii="华文中宋" w:hAnsi="华文中宋" w:eastAsia="华文中宋"/>
          <w:b/>
          <w:color w:val="00000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陈  实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37465</wp:posOffset>
                  </wp:positionV>
                  <wp:extent cx="1223010" cy="1712595"/>
                  <wp:effectExtent l="0" t="0" r="15240" b="1905"/>
                  <wp:wrapNone/>
                  <wp:docPr id="1" name="图片 1" descr="939179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3917945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片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1981年4月13日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firstLine="482" w:firstLineChars="20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研究生 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723" w:firstLineChars="30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国家治理学院</w:t>
            </w:r>
          </w:p>
          <w:p>
            <w:pPr>
              <w:snapToGrid w:val="0"/>
              <w:ind w:firstLine="482" w:firstLineChars="20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1205" w:firstLineChars="50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中南财经政法大学法学院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723" w:firstLineChars="30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武汉市东湖新技术开发区大学园路1号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lang w:val="en-US" w:eastAsia="zh-CN"/>
              </w:rPr>
              <w:t>专著：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独著：《刑事审判实效问题研究》，北京大学出版社2015年出版，225000字。</w:t>
            </w:r>
          </w:p>
          <w:p>
            <w:pPr>
              <w:numPr>
                <w:ilvl w:val="0"/>
                <w:numId w:val="0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lang w:val="en-US" w:eastAsia="zh-CN"/>
              </w:rPr>
              <w:t>主要论文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独撰：《刑事庭审实质化的维度与机制探讨》，《中国法学》2018年第1期。21000字，被引用数49、下载数2926。</w:t>
            </w:r>
          </w:p>
          <w:p>
            <w:pPr>
              <w:numPr>
                <w:ilvl w:val="0"/>
                <w:numId w:val="0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独撰：《刑事司法中律师庭外言论的规制》，《中国法学》2014年第1期。22000字，被引用数60、下载数4134。</w:t>
            </w:r>
          </w:p>
          <w:p>
            <w:pPr>
              <w:numPr>
                <w:ilvl w:val="0"/>
                <w:numId w:val="0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独撰：《论认罪认罚案件量刑从宽的刑事一体化实现》，《法学家》2021年第5期。21000字，被引用数14、下载数2025。</w:t>
            </w:r>
          </w:p>
          <w:p>
            <w:pPr>
              <w:numPr>
                <w:ilvl w:val="0"/>
                <w:numId w:val="0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独撰：《认罪认罚案件量刑建议的争议问题研究》，《法商研究》2021年第4期。21000字，被引用数18、下载数2480。</w:t>
            </w:r>
          </w:p>
          <w:p>
            <w:pPr>
              <w:numPr>
                <w:ilvl w:val="0"/>
                <w:numId w:val="0"/>
              </w:numPr>
              <w:tabs>
                <w:tab w:val="left" w:pos="4185"/>
              </w:tabs>
              <w:snapToGrid w:val="0"/>
              <w:ind w:leftChars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独撰：《论捕诉一体化的合理适用》，《法商研究》2021年第4期。21000字，被引用数43、下载数2176。</w:t>
            </w:r>
          </w:p>
          <w:p>
            <w:pPr>
              <w:numPr>
                <w:ilvl w:val="0"/>
                <w:numId w:val="0"/>
              </w:numPr>
              <w:tabs>
                <w:tab w:val="left" w:pos="4185"/>
              </w:tabs>
              <w:snapToGrid w:val="0"/>
              <w:ind w:leftChars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署一：《派驻公安检察室的功能定位及其优化路径》，《中南民族大学》（人文社会科学版）2021年第10期。20000字，被引用数4，下载数627。</w:t>
            </w:r>
          </w:p>
          <w:p>
            <w:pPr>
              <w:numPr>
                <w:ilvl w:val="0"/>
                <w:numId w:val="0"/>
              </w:numPr>
              <w:tabs>
                <w:tab w:val="left" w:pos="4185"/>
              </w:tabs>
              <w:snapToGrid w:val="0"/>
              <w:ind w:leftChars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独撰：《话语与实践：刑事政策影响下的刑事诉讼》，《江西社会科学》2014年第11期。20000字，被引用数6，下载数325。</w:t>
            </w:r>
          </w:p>
          <w:p>
            <w:pPr>
              <w:numPr>
                <w:ilvl w:val="0"/>
                <w:numId w:val="0"/>
              </w:numPr>
              <w:tabs>
                <w:tab w:val="left" w:pos="4185"/>
              </w:tabs>
              <w:snapToGrid w:val="0"/>
              <w:ind w:leftChars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独撰：《新时代检察职能发展激发理论纵深前行》，《检察日报》2021年第2月10日第3版整版，10052字。</w:t>
            </w:r>
          </w:p>
          <w:p>
            <w:pPr>
              <w:numPr>
                <w:ilvl w:val="0"/>
                <w:numId w:val="0"/>
              </w:numPr>
              <w:tabs>
                <w:tab w:val="left" w:pos="4185"/>
              </w:tabs>
              <w:snapToGrid w:val="0"/>
              <w:ind w:leftChars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独撰：《认罪协商制度离不开四类程序机制》，《检察日报》2023年1月31日第3版，3200字。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snapToGrid w:val="0"/>
              <w:jc w:val="left"/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lang w:val="en-US" w:eastAsia="zh-CN"/>
              </w:rPr>
              <w:t>所获奖项：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2020年 湖北省社会科学优秀成果奖三等奖 湖北省人民政府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2019年 全国检察基础理论研究优秀成果奖二等奖 最高人民检察院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2019年 中国刑事诉讼法学研究会优秀成果奖三等奖 中国刑事诉讼法学研究会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2017年 中国刑事诉讼法学研究会优秀成果奖三等奖 中国刑事诉讼法学研究会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2022年 武汉市社会科学优秀成果奖三等奖 武汉市人民政府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2017年 武汉市社会科学优秀成果奖三等奖 武汉市人民政府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2014年 董必武青年法学成果奖提名奖 中国法学会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2014年 湖北省首届法学优秀成果奖 二等奖 湖北省法学会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lang w:val="en-US" w:eastAsia="zh-CN"/>
              </w:rPr>
              <w:t>所获表彰：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2020年 第六届湖北省优秀中青年法学工作者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2021年 中南财经政法大学首届文澜科研新星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2021年 武汉市法学法律人才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lang w:val="en-US" w:eastAsia="zh-CN"/>
              </w:rPr>
              <w:t>2022年 湖北省法学法律专家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905B2"/>
    <w:multiLevelType w:val="singleLevel"/>
    <w:tmpl w:val="8EC905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3E5C89"/>
    <w:rsid w:val="0052358C"/>
    <w:rsid w:val="00D50D10"/>
    <w:rsid w:val="00FB06D9"/>
    <w:rsid w:val="01DC338D"/>
    <w:rsid w:val="047A39D5"/>
    <w:rsid w:val="052027CE"/>
    <w:rsid w:val="055E6E53"/>
    <w:rsid w:val="05D76C05"/>
    <w:rsid w:val="05E420A6"/>
    <w:rsid w:val="05E732EC"/>
    <w:rsid w:val="05FE4D5F"/>
    <w:rsid w:val="06EF2DF4"/>
    <w:rsid w:val="07077788"/>
    <w:rsid w:val="07CE3EFE"/>
    <w:rsid w:val="0A95738E"/>
    <w:rsid w:val="0B293A5F"/>
    <w:rsid w:val="0B5F1B77"/>
    <w:rsid w:val="0D2244B2"/>
    <w:rsid w:val="0E1053AA"/>
    <w:rsid w:val="0E35013A"/>
    <w:rsid w:val="0E4A429F"/>
    <w:rsid w:val="0EB33F22"/>
    <w:rsid w:val="0EE237D1"/>
    <w:rsid w:val="0FD207B0"/>
    <w:rsid w:val="116474A7"/>
    <w:rsid w:val="11DF0635"/>
    <w:rsid w:val="120D511A"/>
    <w:rsid w:val="1316458C"/>
    <w:rsid w:val="144631F5"/>
    <w:rsid w:val="14F46F6D"/>
    <w:rsid w:val="15000D6C"/>
    <w:rsid w:val="162F76C9"/>
    <w:rsid w:val="16BF796D"/>
    <w:rsid w:val="175240E1"/>
    <w:rsid w:val="18422604"/>
    <w:rsid w:val="18ED6A14"/>
    <w:rsid w:val="19324D53"/>
    <w:rsid w:val="1A286201"/>
    <w:rsid w:val="1BDD2D6F"/>
    <w:rsid w:val="1DA920AB"/>
    <w:rsid w:val="1EBD9178"/>
    <w:rsid w:val="1F5A0233"/>
    <w:rsid w:val="1F5A051C"/>
    <w:rsid w:val="205C537A"/>
    <w:rsid w:val="218F1B9B"/>
    <w:rsid w:val="238D507B"/>
    <w:rsid w:val="242B4894"/>
    <w:rsid w:val="24673A9B"/>
    <w:rsid w:val="249E5066"/>
    <w:rsid w:val="24CF6FCD"/>
    <w:rsid w:val="253634F0"/>
    <w:rsid w:val="25565941"/>
    <w:rsid w:val="26362E1C"/>
    <w:rsid w:val="279B0E1D"/>
    <w:rsid w:val="28370ADF"/>
    <w:rsid w:val="2AA66A22"/>
    <w:rsid w:val="2B3F23E7"/>
    <w:rsid w:val="2BC03160"/>
    <w:rsid w:val="2CEF2903"/>
    <w:rsid w:val="2CEFB339"/>
    <w:rsid w:val="2D2A56E9"/>
    <w:rsid w:val="2DD05A44"/>
    <w:rsid w:val="2E1C2086"/>
    <w:rsid w:val="2E512B5E"/>
    <w:rsid w:val="2EE24644"/>
    <w:rsid w:val="2EFBBC48"/>
    <w:rsid w:val="2EFE38AB"/>
    <w:rsid w:val="2FD1009E"/>
    <w:rsid w:val="30FF0C3A"/>
    <w:rsid w:val="3117552F"/>
    <w:rsid w:val="314F6A0E"/>
    <w:rsid w:val="32970866"/>
    <w:rsid w:val="329C6B05"/>
    <w:rsid w:val="32DA370D"/>
    <w:rsid w:val="339639B6"/>
    <w:rsid w:val="348D5E7D"/>
    <w:rsid w:val="34FF096E"/>
    <w:rsid w:val="35FA526D"/>
    <w:rsid w:val="36CA4858"/>
    <w:rsid w:val="37445E11"/>
    <w:rsid w:val="37610547"/>
    <w:rsid w:val="37E2583F"/>
    <w:rsid w:val="389205E6"/>
    <w:rsid w:val="392C147D"/>
    <w:rsid w:val="399B1EE7"/>
    <w:rsid w:val="3A864261"/>
    <w:rsid w:val="3B90705F"/>
    <w:rsid w:val="3B9D0C2F"/>
    <w:rsid w:val="3BBF1B45"/>
    <w:rsid w:val="3BE26047"/>
    <w:rsid w:val="3DA037A5"/>
    <w:rsid w:val="3DD84CED"/>
    <w:rsid w:val="3DFF8C80"/>
    <w:rsid w:val="3E0A1D55"/>
    <w:rsid w:val="3E8B7FB1"/>
    <w:rsid w:val="3F4B21EC"/>
    <w:rsid w:val="3FAC72FC"/>
    <w:rsid w:val="3FC42311"/>
    <w:rsid w:val="3FDF6C0E"/>
    <w:rsid w:val="3FE95ABC"/>
    <w:rsid w:val="402E0E32"/>
    <w:rsid w:val="40610FCA"/>
    <w:rsid w:val="4149480A"/>
    <w:rsid w:val="43452280"/>
    <w:rsid w:val="43824083"/>
    <w:rsid w:val="438D20D6"/>
    <w:rsid w:val="43E21C60"/>
    <w:rsid w:val="44651E2F"/>
    <w:rsid w:val="44A21BB1"/>
    <w:rsid w:val="44A65C3C"/>
    <w:rsid w:val="457C4AF8"/>
    <w:rsid w:val="45F16D79"/>
    <w:rsid w:val="46AD21B0"/>
    <w:rsid w:val="46BB6995"/>
    <w:rsid w:val="474C5133"/>
    <w:rsid w:val="48820272"/>
    <w:rsid w:val="49042FF5"/>
    <w:rsid w:val="4A0F1A96"/>
    <w:rsid w:val="4AC7411F"/>
    <w:rsid w:val="4BA5680D"/>
    <w:rsid w:val="4D3F1B90"/>
    <w:rsid w:val="4D521EDD"/>
    <w:rsid w:val="4DE1199C"/>
    <w:rsid w:val="4E467A51"/>
    <w:rsid w:val="4F097842"/>
    <w:rsid w:val="518F4D52"/>
    <w:rsid w:val="51DF0B67"/>
    <w:rsid w:val="52C13B4A"/>
    <w:rsid w:val="52C94AF7"/>
    <w:rsid w:val="53157440"/>
    <w:rsid w:val="538A03E0"/>
    <w:rsid w:val="538B47B5"/>
    <w:rsid w:val="53CE651E"/>
    <w:rsid w:val="542B1BC3"/>
    <w:rsid w:val="54C76601"/>
    <w:rsid w:val="55CA5266"/>
    <w:rsid w:val="56156687"/>
    <w:rsid w:val="561641AD"/>
    <w:rsid w:val="56EEFD7E"/>
    <w:rsid w:val="57B74E1B"/>
    <w:rsid w:val="586B07E0"/>
    <w:rsid w:val="58A5671E"/>
    <w:rsid w:val="591FD8F5"/>
    <w:rsid w:val="5961508A"/>
    <w:rsid w:val="5980543B"/>
    <w:rsid w:val="59926B2F"/>
    <w:rsid w:val="59995821"/>
    <w:rsid w:val="5AAC40BB"/>
    <w:rsid w:val="5AB67CCF"/>
    <w:rsid w:val="5AD36B10"/>
    <w:rsid w:val="5B5210A1"/>
    <w:rsid w:val="5B844F77"/>
    <w:rsid w:val="5B8F5DBE"/>
    <w:rsid w:val="5D0971EB"/>
    <w:rsid w:val="5DC759B6"/>
    <w:rsid w:val="5DD32290"/>
    <w:rsid w:val="5DF46E1D"/>
    <w:rsid w:val="5DFEE7D4"/>
    <w:rsid w:val="5E163175"/>
    <w:rsid w:val="5F122835"/>
    <w:rsid w:val="5F3743E3"/>
    <w:rsid w:val="5FBC2178"/>
    <w:rsid w:val="6115578D"/>
    <w:rsid w:val="626D39E9"/>
    <w:rsid w:val="62873081"/>
    <w:rsid w:val="630E06E5"/>
    <w:rsid w:val="6380777D"/>
    <w:rsid w:val="64662B1A"/>
    <w:rsid w:val="66150177"/>
    <w:rsid w:val="66320B8F"/>
    <w:rsid w:val="66654D46"/>
    <w:rsid w:val="6773320D"/>
    <w:rsid w:val="68375161"/>
    <w:rsid w:val="69230D02"/>
    <w:rsid w:val="6965559A"/>
    <w:rsid w:val="6A3824AD"/>
    <w:rsid w:val="6B1802EB"/>
    <w:rsid w:val="6D007D1B"/>
    <w:rsid w:val="6DD918D0"/>
    <w:rsid w:val="6EF47C5F"/>
    <w:rsid w:val="6F484F7F"/>
    <w:rsid w:val="6F9B4CF3"/>
    <w:rsid w:val="6FAF0381"/>
    <w:rsid w:val="6FFF2EC6"/>
    <w:rsid w:val="71F87AF5"/>
    <w:rsid w:val="730B3297"/>
    <w:rsid w:val="737F73DD"/>
    <w:rsid w:val="74C2173A"/>
    <w:rsid w:val="753276E0"/>
    <w:rsid w:val="753A4D64"/>
    <w:rsid w:val="75D850F8"/>
    <w:rsid w:val="760D1D72"/>
    <w:rsid w:val="76B425A4"/>
    <w:rsid w:val="77FE3180"/>
    <w:rsid w:val="79B6713E"/>
    <w:rsid w:val="7A8FFAC6"/>
    <w:rsid w:val="7AF429E1"/>
    <w:rsid w:val="7AFB59A5"/>
    <w:rsid w:val="7B4A5669"/>
    <w:rsid w:val="7B7503A5"/>
    <w:rsid w:val="7BAB741D"/>
    <w:rsid w:val="7BC44C3C"/>
    <w:rsid w:val="7BDFCBFF"/>
    <w:rsid w:val="7C32323F"/>
    <w:rsid w:val="7CCE7E97"/>
    <w:rsid w:val="7CFECE28"/>
    <w:rsid w:val="7D4AA339"/>
    <w:rsid w:val="7D930D15"/>
    <w:rsid w:val="7DB18C74"/>
    <w:rsid w:val="7DBAEB37"/>
    <w:rsid w:val="7DBF1A34"/>
    <w:rsid w:val="7DEB2C32"/>
    <w:rsid w:val="7DFF523D"/>
    <w:rsid w:val="7E25185C"/>
    <w:rsid w:val="7E5F3199"/>
    <w:rsid w:val="7E71482B"/>
    <w:rsid w:val="7ECFDC48"/>
    <w:rsid w:val="7EF35ADA"/>
    <w:rsid w:val="7F4F4108"/>
    <w:rsid w:val="7F7B04A8"/>
    <w:rsid w:val="7F7EF37E"/>
    <w:rsid w:val="7F956B73"/>
    <w:rsid w:val="7FA5EC14"/>
    <w:rsid w:val="7FD7D6B2"/>
    <w:rsid w:val="7FF37BAA"/>
    <w:rsid w:val="9DBC5BFE"/>
    <w:rsid w:val="A5FB904C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BFC2EB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4782</Words>
  <Characters>5181</Characters>
  <Lines>12</Lines>
  <Paragraphs>3</Paragraphs>
  <TotalTime>1</TotalTime>
  <ScaleCrop>false</ScaleCrop>
  <LinksUpToDate>false</LinksUpToDate>
  <CharactersWithSpaces>5338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2022-12-28T11:44:00Z</dcterms:created>
  <dc:creator>fxhuser</dc:creator>
  <cp:lastModifiedBy>执牛耳</cp:lastModifiedBy>
  <cp:lastPrinted>2023-03-01T15:27:00Z</cp:lastPrinted>
  <dcterms:modified xsi:type="dcterms:W3CDTF">2023-04-27T07:46:37Z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88D63C80A8A2416CAC49B6720757235A</vt:lpwstr>
  </property>
</Properties>
</file>