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程雪阳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苏州大学王健法学院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苏州大学王健法学院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程雪阳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44399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1984.12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副院长、副主编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苏州大学王健法学院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1560" w:firstLineChars="65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苏州市十梓街1号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00" w:lineRule="auto"/>
              <w:ind w:firstLine="480"/>
              <w:rPr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Style w:val="12"/>
                <w:rFonts w:hint="eastAsia"/>
                <w:kern w:val="0"/>
                <w:sz w:val="24"/>
                <w:u w:color="000000"/>
                <w:lang w:val="zh-TW" w:eastAsia="zh-TW"/>
              </w:rPr>
              <w:t>在过去十年间，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val="zh-TW" w:eastAsia="zh-TW"/>
              </w:rPr>
              <w:t>在土地制度改革和自然资源法治建设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val="zh-TW"/>
              </w:rPr>
              <w:t>、宪法实施和司法制度改革等领域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val="zh-TW" w:eastAsia="zh-TW"/>
              </w:rPr>
              <w:t>先后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eastAsia="zh-TW"/>
              </w:rPr>
              <w:t>发表</w:t>
            </w:r>
            <w:r>
              <w:rPr>
                <w:rStyle w:val="12"/>
                <w:color w:val="000000"/>
                <w:kern w:val="0"/>
                <w:sz w:val="24"/>
                <w:u w:color="000000"/>
              </w:rPr>
              <w:t>50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eastAsia="zh-TW"/>
              </w:rPr>
              <w:t>余篇学术论文，出版专著</w:t>
            </w:r>
            <w:r>
              <w:rPr>
                <w:rStyle w:val="12"/>
                <w:color w:val="000000"/>
                <w:kern w:val="0"/>
                <w:sz w:val="24"/>
                <w:u w:color="000000"/>
              </w:rPr>
              <w:t>2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eastAsia="zh-TW"/>
              </w:rPr>
              <w:t>本，编著</w:t>
            </w:r>
            <w:r>
              <w:rPr>
                <w:rStyle w:val="12"/>
                <w:color w:val="000000"/>
                <w:kern w:val="0"/>
                <w:sz w:val="24"/>
                <w:u w:color="000000"/>
                <w:lang w:eastAsia="zh-TW"/>
              </w:rPr>
              <w:t>1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eastAsia="zh-TW"/>
              </w:rPr>
              <w:t>本。</w:t>
            </w:r>
            <w:r>
              <w:rPr>
                <w:rStyle w:val="12"/>
                <w:rFonts w:hint="eastAsia"/>
                <w:color w:val="000000"/>
                <w:kern w:val="0"/>
                <w:sz w:val="24"/>
                <w:u w:color="000000"/>
                <w:lang w:val="zh-TW" w:eastAsia="zh-TW"/>
              </w:rPr>
              <w:t>重要学术成果包括：</w:t>
            </w:r>
          </w:p>
          <w:p>
            <w:pPr>
              <w:pStyle w:val="13"/>
              <w:tabs>
                <w:tab w:val="left" w:pos="4185"/>
              </w:tabs>
              <w:snapToGrid w:val="0"/>
              <w:spacing w:before="156" w:beforeLines="50" w:after="156" w:afterLines="50" w:line="300" w:lineRule="auto"/>
              <w:ind w:left="420" w:firstLine="0" w:firstLineChars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5篇代表性论文和1本代表性著作（均为独著）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《土地发展权与土地增值收益的分配》，《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法学研究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2014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，3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被引用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次。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CN"/>
              </w:rPr>
              <w:t>中国宪法上国家所有的规范含义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，《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4"/>
                <w:szCs w:val="24"/>
              </w:rPr>
              <w:t>法学研究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.9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被引用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次，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《中国社会科学文摘》2015年第11期转载，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《人大复印资料·法学文摘》2016年第2期转载，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《人民法院报》2015年10月28日第05版摘编。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《国有自然资源资产产权行使机制的完善》，《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4"/>
                <w:szCs w:val="24"/>
              </w:rPr>
              <w:t>法学研究</w:t>
            </w:r>
            <w:r>
              <w:rPr>
                <w:rStyle w:val="12"/>
                <w:rFonts w:hint="default" w:ascii="楷体" w:hAnsi="楷体" w:eastAsia="楷体"/>
              </w:rPr>
              <w:t>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2018年第6期，2.8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被引用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次。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《合宪性视角下的成片开发征收及其标准认定》，《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4"/>
                <w:szCs w:val="24"/>
              </w:rPr>
              <w:t>法学研究</w:t>
            </w:r>
            <w:r>
              <w:rPr>
                <w:rStyle w:val="12"/>
                <w:rFonts w:ascii="楷体" w:hAnsi="楷体" w:eastAsia="楷体"/>
                <w:lang w:val="zh-TW" w:eastAsia="zh-TW"/>
              </w:rPr>
              <w:t>》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2020年第5期，2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万字，被引用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次。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《中国地权制度的反思与变革》，上海三联出版社2018年版，4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万字。该书以申请人撰写的《中国土地制度的反思与变革 ——基于公法的视角》博士论文为基础修改而成，该博士论文被引用6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次。</w:t>
            </w:r>
          </w:p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185"/>
              </w:tabs>
              <w:snapToGrid w:val="0"/>
              <w:spacing w:before="156" w:beforeLines="50" w:after="156" w:afterLines="50" w:line="300" w:lineRule="auto"/>
              <w:ind w:left="420" w:firstLine="0" w:firstLineChars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其他重要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学术著作和学术论文（除</w:t>
            </w:r>
            <w:r>
              <w:rPr>
                <w:rFonts w:hint="eastAsia" w:ascii="Cambria" w:hAnsi="Cambria" w:eastAsia="楷体_GB2312" w:cs="Cambria"/>
                <w:b/>
                <w:color w:val="000000"/>
                <w:sz w:val="24"/>
              </w:rPr>
              <w:t>特殊标注外，均为独著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）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368"/>
                <w:tab w:val="left" w:pos="420"/>
              </w:tabs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《地权的秘密</w:t>
            </w:r>
            <w:r>
              <w:rPr>
                <w:rFonts w:ascii="Times" w:hAnsi="Times" w:eastAsia="宋体" w:cs="宋体"/>
                <w:kern w:val="0"/>
                <w:sz w:val="24"/>
                <w:szCs w:val="24"/>
                <w:lang w:val="zh-TW"/>
              </w:rPr>
              <w:t>：土地制度改革深度观察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》，上海三联出版社2015年版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368"/>
                <w:tab w:val="left" w:pos="420"/>
              </w:tabs>
              <w:spacing w:line="288" w:lineRule="auto"/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《中国土地法治与土地法研究》（编著），社会科学文献出版社2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35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《“异地异级调用检察官”制度的合宪性分析》，《环球法律评论》2022年第6期，2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万字。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10007"/>
              </w:tabs>
              <w:spacing w:line="300" w:lineRule="auto"/>
              <w:rPr>
                <w:rStyle w:val="12"/>
                <w:rFonts w:hint="default" w:ascii="Times New Roman" w:hAnsi="Times New Roman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论行政诉讼中集体土地征收决定的识别与司法审查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》，《法学家》2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022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年第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3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期，2万字。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《体系解释视角下农村违法占地建房执法权限争议的解决》，《政治与法律》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期，1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《体系解释视角下宪法土地制度条款的规范结构》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，《法制与社会发展》2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4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.0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《跨行政区划法院改革的合宪性制度通道》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，《法律科学》2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4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.8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《农村女性土地权益保护制度迷宫的破解及其规则再造》，《清华法学》2019年第3期，1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.9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万字，《法制日报》2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019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年1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0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月9日第1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0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版摘编。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《“城市的土地属于国家所有”的规范内涵》，《政治与法律》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年第3期，1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《新华文摘》（网络版）2017年第15期全文转载，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人大复印资料•宪法学、行政法学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》2017年第6期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全文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转载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《论</w:t>
            </w:r>
            <w:r>
              <w:rPr>
                <w:rStyle w:val="12"/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</w:rPr>
              <w:t>“</w:t>
            </w:r>
            <w:r>
              <w:rPr>
                <w:rStyle w:val="12"/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城市的土地属于国家所有</w:t>
            </w:r>
            <w:r>
              <w:rPr>
                <w:rStyle w:val="12"/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</w:rPr>
              <w:t>”</w:t>
            </w:r>
            <w:r>
              <w:rPr>
                <w:rStyle w:val="12"/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的宪法解释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》，《法制与社会发展》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2014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，2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万字，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《人大复印资料•宪法学、行政法学》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2014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全文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转载。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《荷兰为何会拒绝违宪审查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：基于历史的考察与反思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》，《环球法律评论》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.8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论集体土地征收与入市增值收益分配的协调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》，《中国土地科学》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2020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建党百年土地法治建设的历史逻辑和基本经验》（第一作者），《中国土地科学》2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021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年第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期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，1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.2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。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中国现行土地管理制度的反思与重构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》，《中国土地科学》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2013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，1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.2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万字，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《国土资源政策法律复印报刊资料》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2013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期转载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《从家国到人民共和国：“天下-中国”转型的历史逻辑》，《学术月刊》2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022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年5期，2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.1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万字，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《人大复印资料·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政治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学》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2022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全文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转载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《重建财产权：我国土地制度改革的基本经验与方向》，《学术月刊》2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020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年第4期，2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.3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万字，《人大复印资料·体制改革》2020年第8期全文转载。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《“土地承包关系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稳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定并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长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久不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变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”的理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论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争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议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与制度落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实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》，《中国法</w:t>
            </w:r>
            <w:r>
              <w:rPr>
                <w:rStyle w:val="12"/>
                <w:rFonts w:ascii="宋体" w:hAnsi="宋体" w:eastAsia="宋体" w:cs="MS Mincho"/>
                <w:sz w:val="24"/>
                <w:szCs w:val="24"/>
                <w:lang w:val="zh-TW" w:eastAsia="zh-TW"/>
              </w:rPr>
              <w:t>律</w:t>
            </w:r>
            <w:r>
              <w:rPr>
                <w:rStyle w:val="12"/>
                <w:rFonts w:ascii="宋体" w:hAnsi="宋体" w:eastAsia="宋体" w:cs="微软雅黑"/>
                <w:sz w:val="24"/>
                <w:szCs w:val="24"/>
                <w:lang w:val="zh-TW" w:eastAsia="zh-TW"/>
              </w:rPr>
              <w:t>评论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hint="default" w:ascii="Times New Roman" w:hAnsi="Times New Roman" w:eastAsia="MS Mincho" w:cs="Times New Roman"/>
                <w:sz w:val="24"/>
                <w:szCs w:val="24"/>
                <w:lang w:val="zh-TW" w:eastAsia="zh-TW"/>
              </w:rPr>
              <w:t>2021年第1期</w:t>
            </w:r>
            <w:r>
              <w:rPr>
                <w:rStyle w:val="12"/>
                <w:rFonts w:ascii="Times New Roman" w:hAnsi="Times New Roman" w:eastAsia="MS Mincho" w:cs="Times New Roman"/>
                <w:sz w:val="24"/>
                <w:szCs w:val="24"/>
                <w:lang w:val="zh-TW"/>
              </w:rPr>
              <w:t>，1</w:t>
            </w:r>
            <w:r>
              <w:rPr>
                <w:rStyle w:val="12"/>
                <w:rFonts w:hint="default" w:ascii="Times New Roman" w:hAnsi="Times New Roman" w:eastAsia="MS Mincho" w:cs="Times New Roman"/>
                <w:sz w:val="24"/>
                <w:szCs w:val="24"/>
                <w:lang w:val="zh-TW" w:eastAsia="zh-TW"/>
              </w:rPr>
              <w:t>.3</w:t>
            </w:r>
            <w:r>
              <w:rPr>
                <w:rStyle w:val="12"/>
                <w:rFonts w:ascii="Times New Roman" w:hAnsi="Times New Roman" w:eastAsia="MS Mincho" w:cs="Times New Roman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《新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土地管理法&gt;土地用途管制制度改革的得与失》，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《中国法律评论》2019年第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期，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1.8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  <w:t>《土地法治四十年：变革与反思》，《中国法律评论》2019年第1期，2.0万字。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/>
              </w:rPr>
              <w:t>《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墨西哥</w:t>
            </w:r>
            <w:r>
              <w:rPr>
                <w:rStyle w:val="12"/>
                <w:rFonts w:hint="default" w:ascii="Times" w:hAnsi="Times"/>
                <w:kern w:val="0"/>
                <w:sz w:val="24"/>
                <w:szCs w:val="24"/>
              </w:rPr>
              <w:t>20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世纪的土地改革及其对中国的启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示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》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，《北京社会科学》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2013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.3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《中国社会科学文摘》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2014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转载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宪法视角下的国有土地使用权续期问题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》，《理论与改革》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2016年第6期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</w:t>
            </w:r>
            <w:bookmarkStart w:id="0" w:name="OLE_LINK24"/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荷兰的空间规划、房地产管理与土地征收</w:t>
            </w:r>
            <w:bookmarkEnd w:id="0"/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》，《行政法学研究》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2012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.8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00" w:lineRule="auto"/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集体经营性建设用地入市背景下土地税制的完善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》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《武</w:t>
            </w:r>
            <w:r>
              <w:rPr>
                <w:rStyle w:val="12"/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  <w:t>汉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大学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学</w:t>
            </w:r>
            <w:r>
              <w:rPr>
                <w:rStyle w:val="12"/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  <w:t>报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（哲学社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会科学版）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20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22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4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hint="default" w:ascii="Times New Roman" w:hAnsi="Times New Roman" w:eastAsia="MS Mincho" w:cs="Times New Roman"/>
                <w:kern w:val="0"/>
                <w:sz w:val="24"/>
                <w:szCs w:val="24"/>
                <w:lang w:val="zh-TW" w:eastAsia="zh-TW"/>
              </w:rPr>
              <w:t>，</w:t>
            </w:r>
            <w:r>
              <w:rPr>
                <w:rStyle w:val="12"/>
                <w:rFonts w:ascii="Times New Roman" w:hAnsi="Times New Roman" w:eastAsia="MS Mincho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MS Mincho" w:cs="Times New Roman"/>
                <w:kern w:val="0"/>
                <w:sz w:val="24"/>
                <w:szCs w:val="24"/>
                <w:lang w:val="zh-TW" w:eastAsia="zh-TW"/>
              </w:rPr>
              <w:t>.5</w:t>
            </w:r>
            <w:r>
              <w:rPr>
                <w:rStyle w:val="12"/>
                <w:rFonts w:ascii="Times New Roman" w:hAnsi="Times New Roman" w:eastAsia="MS Mincho" w:cs="Times New Roman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ascii="Times New Roman" w:hAnsi="Times New Roman" w:eastAsia="MS Mincho" w:cs="Times New Roman"/>
                <w:kern w:val="0"/>
                <w:sz w:val="24"/>
                <w:szCs w:val="24"/>
                <w:lang w:val="zh-TW"/>
              </w:rPr>
              <w:t>，《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高等学校文科学术文摘》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6期转载。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《香港基本法第</w:t>
            </w:r>
            <w:r>
              <w:rPr>
                <w:rStyle w:val="12"/>
                <w:rFonts w:ascii="Times" w:hAnsi="Times"/>
                <w:sz w:val="24"/>
                <w:szCs w:val="24"/>
                <w:lang w:val="zh-TW" w:eastAsia="zh-TW"/>
              </w:rPr>
              <w:t>158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条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与司法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审查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次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终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性理念</w:t>
            </w:r>
            <w:r>
              <w:rPr>
                <w:rStyle w:val="12"/>
                <w:rFonts w:hint="default" w:ascii="Helvetica" w:hAnsi="Helvetica" w:eastAsia="Helvetica" w:cs="Helvetica"/>
                <w:kern w:val="0"/>
                <w:sz w:val="24"/>
                <w:szCs w:val="24"/>
                <w:lang w:val="zh-TW" w:eastAsia="zh-TW"/>
              </w:rPr>
              <w:t>—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基于基本法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实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施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20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周年的反思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》，《武</w:t>
            </w:r>
            <w:r>
              <w:rPr>
                <w:rStyle w:val="12"/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  <w:t>汉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大学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学</w:t>
            </w:r>
            <w:r>
              <w:rPr>
                <w:rStyle w:val="12"/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  <w:t>报</w:t>
            </w:r>
            <w:r>
              <w:rPr>
                <w:rStyle w:val="12"/>
                <w:rFonts w:ascii="MS Mincho" w:hAnsi="MS Mincho" w:eastAsia="MS Mincho" w:cs="MS Mincho"/>
                <w:sz w:val="24"/>
                <w:szCs w:val="24"/>
                <w:lang w:val="zh-TW" w:eastAsia="zh-TW"/>
              </w:rPr>
              <w:t>（哲学社会科学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版）</w:t>
            </w:r>
            <w:r>
              <w:rPr>
                <w:rStyle w:val="12"/>
                <w:rFonts w:hint="default" w:ascii="MS Mincho" w:hAnsi="MS Mincho" w:eastAsia="MS Mincho" w:cs="MS Mincho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2017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年第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6</w:t>
            </w:r>
            <w:r>
              <w:rPr>
                <w:rStyle w:val="12"/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期</w:t>
            </w:r>
            <w:r>
              <w:rPr>
                <w:rStyle w:val="12"/>
                <w:rFonts w:ascii="MS Mincho" w:hAnsi="MS Mincho" w:eastAsia="MS Mincho" w:cs="MS Mincho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.6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万字</w:t>
            </w:r>
            <w:r>
              <w:rPr>
                <w:rStyle w:val="12"/>
                <w:rFonts w:hint="default" w:ascii="Times New Roman" w:hAnsi="Times New Roman" w:eastAsia="MS Mincho" w:cs="Times New Roman"/>
                <w:kern w:val="0"/>
                <w:sz w:val="24"/>
                <w:szCs w:val="24"/>
                <w:lang w:val="zh-TW"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after="156" w:afterLines="50" w:line="300" w:lineRule="auto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省部级以上奖励和表彰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023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3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，《国有自然资源资产产权行使机制的完善》一文，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获江苏省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“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第十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七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届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哲学社会科学优秀成果奖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”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一等奖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江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苏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省人民政府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，省级）。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TW"/>
              </w:rPr>
              <w:t>2020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</w:rPr>
              <w:t>年1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《中国地权制度的反思与变革》一书，获“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苏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省第十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六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届哲学社会科学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优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秀成果二等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”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江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苏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省人民政府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，省级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；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019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月该成果还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获得“第七届董必武青年成果奖”三等奖（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中国法学会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颁发，部级）。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2016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10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CN"/>
              </w:rPr>
              <w:t>中国宪法上国家所有的规范含义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一文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“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苏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省第十四届哲学社会科学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优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秀成果二等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”</w:t>
            </w:r>
            <w:r>
              <w:rPr>
                <w:rFonts w:hint="default" w:ascii="MS Mincho" w:hAnsi="MS Mincho" w:eastAsia="MS Mincho" w:cs="MS Mincho"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江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苏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省人民政府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，省级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2018年7月该成果还获得第六届“董必武青年法学成果奖”提名奖（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中国法学会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，部级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2017年8月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《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土地发展权与土地增值收益分配</w:t>
            </w:r>
            <w:r>
              <w:rPr>
                <w:rStyle w:val="12"/>
                <w:rFonts w:hint="default" w:ascii="Times" w:hAnsi="Times" w:eastAsia="宋体" w:cs="宋体"/>
                <w:kern w:val="0"/>
                <w:sz w:val="24"/>
                <w:szCs w:val="24"/>
                <w:lang w:val="zh-TW" w:eastAsia="zh-TW"/>
              </w:rPr>
              <w:t>》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 w:eastAsia="zh-TW"/>
              </w:rPr>
              <w:t>一文</w:t>
            </w:r>
            <w:r>
              <w:rPr>
                <w:rStyle w:val="12"/>
                <w:rFonts w:ascii="Times" w:hAnsi="Times" w:eastAsia="宋体" w:cs="宋体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获第五届“董必武青年法学成果奖”三等奖（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中国法学会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，部级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2015年5月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《生态文明视角下的自然资源国家所有权》一文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获“生态环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zh-TW" w:eastAsia="zh-TW"/>
              </w:rPr>
              <w:t>境法</w:t>
            </w:r>
            <w:r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治保障”主题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征文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一等奖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default"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国家环境保护部与中国法学会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联合颁发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，部级）。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2018年12月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《关于深化土地管理制度全面深化改革的提案》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获民进中央年度参政议政成果二等奖（</w:t>
            </w:r>
            <w:r>
              <w:rPr>
                <w:rFonts w:cs="MS Mincho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 w:eastAsia="zh-TW"/>
              </w:rPr>
              <w:t>中国民主促进会中央委员会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，部级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before="156" w:beforeLines="50" w:after="156" w:afterLines="50" w:line="300" w:lineRule="auto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厅局级奖励和表彰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2022年1月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《关于地方立法存泛政策化倾向的观点》一文，获“江苏智库研究与决策咨询优秀成果奖一等奖” （</w:t>
            </w:r>
            <w:r>
              <w:rPr>
                <w:rFonts w:ascii="楷体" w:hAnsi="楷体" w:eastAsia="楷体" w:cs="MS Mincho"/>
                <w:kern w:val="0"/>
                <w:sz w:val="24"/>
                <w:szCs w:val="24"/>
                <w:lang w:val="zh-TW" w:eastAsia="zh-TW"/>
              </w:rPr>
              <w:t>江苏省社科联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颁发，厅级），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022年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该成果还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中国智库索引（CTTI）年度智库优秀成果特等奖（</w:t>
            </w:r>
            <w:r>
              <w:rPr>
                <w:rFonts w:ascii="楷体" w:hAnsi="楷体" w:eastAsia="楷体" w:cs="MS Mincho"/>
                <w:kern w:val="0"/>
                <w:sz w:val="24"/>
                <w:szCs w:val="24"/>
                <w:lang w:val="zh-TW" w:eastAsia="zh-TW"/>
              </w:rPr>
              <w:t>南京大学中国智库研究与评价中心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颁发）。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</w:pP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，《关于完善成片开发土地征收标准的建议》，获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  <w:t>“江苏省社科应用研究精品工程”奖优秀成果二等奖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楷体" w:hAnsi="楷体" w:eastAsia="楷体" w:cs="MS Mincho"/>
                <w:kern w:val="0"/>
                <w:sz w:val="24"/>
                <w:szCs w:val="24"/>
                <w:lang w:val="zh-TW" w:eastAsia="zh-TW"/>
              </w:rPr>
              <w:t>江苏省社科联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颁发，厅级）。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TW"/>
              </w:rPr>
              <w:t>019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年9月，《关于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土地管理法&gt;（修正案草案）第二次征求意见稿）的完善建议》，获“江苏省社科应用研究精品工程奖”二等奖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楷体" w:hAnsi="楷体" w:eastAsia="楷体" w:cs="MS Mincho"/>
                <w:kern w:val="0"/>
                <w:sz w:val="24"/>
                <w:szCs w:val="24"/>
                <w:lang w:val="zh-TW" w:eastAsia="zh-TW"/>
              </w:rPr>
              <w:t>江苏省社科联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颁发，厅级）。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  <w:tab w:val="left" w:pos="604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2018年10月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《当前我国自然资源产权制度改革问题研究》一文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获江苏省哲学社会科学界第十二届学术大会优秀论文一等奖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楷体" w:hAnsi="楷体" w:eastAsia="楷体" w:cs="MS Mincho"/>
                <w:kern w:val="0"/>
                <w:sz w:val="24"/>
                <w:szCs w:val="24"/>
                <w:lang w:val="zh-TW" w:eastAsia="zh-TW"/>
              </w:rPr>
              <w:t>江苏省社科联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zh-TW"/>
              </w:rPr>
              <w:t>颁发，厅级）。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</w:tabs>
              <w:spacing w:line="288" w:lineRule="auto"/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2018年8月，“苏州大学优秀党员”（</w:t>
            </w:r>
            <w:r>
              <w:rPr>
                <w:rStyle w:val="12"/>
                <w:rFonts w:ascii="楷体" w:hAnsi="楷体" w:eastAsia="楷体" w:cs="Times New Roman"/>
                <w:kern w:val="0"/>
                <w:sz w:val="24"/>
                <w:szCs w:val="24"/>
                <w:lang w:val="zh-TW" w:eastAsia="zh-TW"/>
              </w:rPr>
              <w:t>中共苏州大学委员会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，厅级）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</w:tabs>
              <w:spacing w:line="288" w:lineRule="auto"/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019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1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，“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苏州大学教学先进个人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”。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12"/>
                <w:rFonts w:ascii="楷体" w:hAnsi="楷体" w:eastAsia="楷体" w:cs="Times New Roman"/>
                <w:kern w:val="0"/>
                <w:sz w:val="24"/>
                <w:szCs w:val="24"/>
                <w:lang w:val="zh-TW" w:eastAsia="zh-TW"/>
              </w:rPr>
              <w:t>苏州大学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，厅级）</w:t>
            </w:r>
          </w:p>
          <w:p>
            <w:pPr>
              <w:pStyle w:val="11"/>
              <w:numPr>
                <w:ilvl w:val="0"/>
                <w:numId w:val="4"/>
              </w:numPr>
              <w:tabs>
                <w:tab w:val="left" w:pos="322"/>
                <w:tab w:val="left" w:pos="368"/>
                <w:tab w:val="left" w:pos="420"/>
              </w:tabs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Style w:val="12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022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5月，“苏州大学五四青年奖·向上向善好青年”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12"/>
                <w:rFonts w:ascii="楷体" w:hAnsi="楷体" w:eastAsia="楷体" w:cs="Times New Roman"/>
                <w:kern w:val="0"/>
                <w:sz w:val="24"/>
                <w:szCs w:val="24"/>
                <w:lang w:val="zh-TW" w:eastAsia="zh-TW"/>
              </w:rPr>
              <w:t>中共苏州大学党委宣传部</w:t>
            </w:r>
            <w:r>
              <w:rPr>
                <w:rStyle w:val="12"/>
                <w:rFonts w:ascii="楷体" w:hAnsi="楷体" w:eastAsia="楷体" w:cs="Times New Roman"/>
                <w:kern w:val="0"/>
                <w:sz w:val="24"/>
                <w:szCs w:val="24"/>
                <w:lang w:val="zh-TW"/>
              </w:rPr>
              <w:t>、党委教师工作部、团委等单位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颁发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，校级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）</w:t>
            </w:r>
            <w:r>
              <w:rPr>
                <w:rStyle w:val="12"/>
                <w:rFonts w:ascii="Times New Roman" w:hAnsi="Times New Roman" w:eastAsia="宋体" w:cs="Times New Roman"/>
                <w:kern w:val="0"/>
                <w:sz w:val="24"/>
                <w:szCs w:val="24"/>
                <w:lang w:val="zh-TW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1" w:name="_GoBack"/>
      <w:bookmarkEnd w:id="1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466433349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16246318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597068"/>
    <w:multiLevelType w:val="multilevel"/>
    <w:tmpl w:val="0F5970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5D4889"/>
    <w:multiLevelType w:val="multilevel"/>
    <w:tmpl w:val="3A5D488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036353"/>
    <w:multiLevelType w:val="multilevel"/>
    <w:tmpl w:val="7C03635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006A682A"/>
    <w:rsid w:val="00057E33"/>
    <w:rsid w:val="0008504B"/>
    <w:rsid w:val="000C3EEA"/>
    <w:rsid w:val="000D0454"/>
    <w:rsid w:val="000E6B4E"/>
    <w:rsid w:val="00110085"/>
    <w:rsid w:val="001218CD"/>
    <w:rsid w:val="00150326"/>
    <w:rsid w:val="00155764"/>
    <w:rsid w:val="001C5E6F"/>
    <w:rsid w:val="001D5417"/>
    <w:rsid w:val="001D5BE2"/>
    <w:rsid w:val="001F2964"/>
    <w:rsid w:val="0023146D"/>
    <w:rsid w:val="00237F5F"/>
    <w:rsid w:val="00255C9A"/>
    <w:rsid w:val="00270490"/>
    <w:rsid w:val="002A192F"/>
    <w:rsid w:val="002A331C"/>
    <w:rsid w:val="003220D8"/>
    <w:rsid w:val="00364D22"/>
    <w:rsid w:val="00376D3F"/>
    <w:rsid w:val="003D45C1"/>
    <w:rsid w:val="003D5815"/>
    <w:rsid w:val="003E1DAB"/>
    <w:rsid w:val="003E289B"/>
    <w:rsid w:val="003F2B7B"/>
    <w:rsid w:val="00421461"/>
    <w:rsid w:val="00496376"/>
    <w:rsid w:val="00496CE6"/>
    <w:rsid w:val="004B3150"/>
    <w:rsid w:val="004F6776"/>
    <w:rsid w:val="00510F45"/>
    <w:rsid w:val="005B48FA"/>
    <w:rsid w:val="005B5CA9"/>
    <w:rsid w:val="005E2376"/>
    <w:rsid w:val="005E3B98"/>
    <w:rsid w:val="005E4049"/>
    <w:rsid w:val="005E45A6"/>
    <w:rsid w:val="005F4AF9"/>
    <w:rsid w:val="006455E5"/>
    <w:rsid w:val="00653B88"/>
    <w:rsid w:val="00654915"/>
    <w:rsid w:val="00656C57"/>
    <w:rsid w:val="00661B0D"/>
    <w:rsid w:val="006821C2"/>
    <w:rsid w:val="006938F0"/>
    <w:rsid w:val="006A682A"/>
    <w:rsid w:val="006B6E77"/>
    <w:rsid w:val="006C7C35"/>
    <w:rsid w:val="006D0ED1"/>
    <w:rsid w:val="006D117B"/>
    <w:rsid w:val="006F4701"/>
    <w:rsid w:val="0070797D"/>
    <w:rsid w:val="00712A8F"/>
    <w:rsid w:val="00717FDC"/>
    <w:rsid w:val="007443EF"/>
    <w:rsid w:val="00796FCF"/>
    <w:rsid w:val="007A3A11"/>
    <w:rsid w:val="007B2937"/>
    <w:rsid w:val="007C0F2C"/>
    <w:rsid w:val="007C2E38"/>
    <w:rsid w:val="007D0D15"/>
    <w:rsid w:val="00801DF9"/>
    <w:rsid w:val="0083612F"/>
    <w:rsid w:val="00841E59"/>
    <w:rsid w:val="008561E0"/>
    <w:rsid w:val="008849C3"/>
    <w:rsid w:val="008A0893"/>
    <w:rsid w:val="008B3BF4"/>
    <w:rsid w:val="008D0DD3"/>
    <w:rsid w:val="008D4974"/>
    <w:rsid w:val="008E3C00"/>
    <w:rsid w:val="008E66B4"/>
    <w:rsid w:val="008F0177"/>
    <w:rsid w:val="008F4518"/>
    <w:rsid w:val="008F5626"/>
    <w:rsid w:val="00924905"/>
    <w:rsid w:val="00924E93"/>
    <w:rsid w:val="00930100"/>
    <w:rsid w:val="00933455"/>
    <w:rsid w:val="00934B0B"/>
    <w:rsid w:val="0094221E"/>
    <w:rsid w:val="009576D6"/>
    <w:rsid w:val="0096207C"/>
    <w:rsid w:val="009766C1"/>
    <w:rsid w:val="00984D5A"/>
    <w:rsid w:val="00984E75"/>
    <w:rsid w:val="009A4182"/>
    <w:rsid w:val="009B10CC"/>
    <w:rsid w:val="009C5B69"/>
    <w:rsid w:val="00A00A5B"/>
    <w:rsid w:val="00A101CA"/>
    <w:rsid w:val="00A13177"/>
    <w:rsid w:val="00A27B34"/>
    <w:rsid w:val="00A47F85"/>
    <w:rsid w:val="00A51AF5"/>
    <w:rsid w:val="00A66ED8"/>
    <w:rsid w:val="00AB0F92"/>
    <w:rsid w:val="00AB3BC3"/>
    <w:rsid w:val="00AC6D64"/>
    <w:rsid w:val="00B21A86"/>
    <w:rsid w:val="00B35E07"/>
    <w:rsid w:val="00B4367D"/>
    <w:rsid w:val="00B43AF8"/>
    <w:rsid w:val="00B614D7"/>
    <w:rsid w:val="00B74F64"/>
    <w:rsid w:val="00B875BE"/>
    <w:rsid w:val="00BA28A8"/>
    <w:rsid w:val="00BB22F8"/>
    <w:rsid w:val="00BB31D1"/>
    <w:rsid w:val="00BC54AB"/>
    <w:rsid w:val="00BD2641"/>
    <w:rsid w:val="00BF46DE"/>
    <w:rsid w:val="00BF7FB6"/>
    <w:rsid w:val="00C95792"/>
    <w:rsid w:val="00CD23A8"/>
    <w:rsid w:val="00CE48C8"/>
    <w:rsid w:val="00CE5C23"/>
    <w:rsid w:val="00CE5F7C"/>
    <w:rsid w:val="00D012FD"/>
    <w:rsid w:val="00D0213F"/>
    <w:rsid w:val="00D30018"/>
    <w:rsid w:val="00D41A04"/>
    <w:rsid w:val="00D87E53"/>
    <w:rsid w:val="00D92D99"/>
    <w:rsid w:val="00DA1CBA"/>
    <w:rsid w:val="00DA4BE2"/>
    <w:rsid w:val="00DB429D"/>
    <w:rsid w:val="00DC48D3"/>
    <w:rsid w:val="00DE24FA"/>
    <w:rsid w:val="00DF2B51"/>
    <w:rsid w:val="00DF74B9"/>
    <w:rsid w:val="00E30281"/>
    <w:rsid w:val="00E4435A"/>
    <w:rsid w:val="00E540AF"/>
    <w:rsid w:val="00E54BFE"/>
    <w:rsid w:val="00E804E4"/>
    <w:rsid w:val="00E84DAE"/>
    <w:rsid w:val="00E858A3"/>
    <w:rsid w:val="00E8677F"/>
    <w:rsid w:val="00ED5243"/>
    <w:rsid w:val="00EE518D"/>
    <w:rsid w:val="00EF6987"/>
    <w:rsid w:val="00F07E04"/>
    <w:rsid w:val="00F142EA"/>
    <w:rsid w:val="00F82F0D"/>
    <w:rsid w:val="00F86E5D"/>
    <w:rsid w:val="00FA0B50"/>
    <w:rsid w:val="00FA56C6"/>
    <w:rsid w:val="00FA6C8D"/>
    <w:rsid w:val="00FE17CE"/>
    <w:rsid w:val="1AFF244B"/>
    <w:rsid w:val="3B7F3F73"/>
    <w:rsid w:val="7F3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无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7703</Words>
  <Characters>8521</Characters>
  <Lines>113</Lines>
  <Paragraphs>31</Paragraphs>
  <TotalTime>8</TotalTime>
  <ScaleCrop>false</ScaleCrop>
  <LinksUpToDate>false</LinksUpToDate>
  <CharactersWithSpaces>8677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2023-03-17T20:00:00Z</dcterms:created>
  <dc:creator>Lenovo</dc:creator>
  <cp:lastModifiedBy>执牛耳</cp:lastModifiedBy>
  <cp:lastPrinted>2023-02-13T18:23:00Z</cp:lastPrinted>
  <dcterms:modified xsi:type="dcterms:W3CDTF">2023-04-27T09:11:10Z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B8B3ECB1CB3E490BA91D886367A10AAA_12</vt:lpwstr>
  </property>
</Properties>
</file>