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102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袁钢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中国政法大学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中国法学会</w:t>
      </w:r>
      <w:r>
        <w:rPr>
          <w:rFonts w:hint="default" w:eastAsia="仿宋_GB2312"/>
          <w:b/>
          <w:bCs/>
          <w:sz w:val="32"/>
          <w:szCs w:val="32"/>
          <w:u w:val="single"/>
          <w:lang w:val="en-US" w:eastAsia="zh-CN"/>
        </w:rPr>
        <w:t>体育法学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  <w:lang w:val="en-US" w:eastAsia="zh-CN"/>
        </w:rPr>
      </w:pPr>
      <w:r>
        <w:rPr>
          <w:rFonts w:hint="eastAsia" w:eastAsia="仿宋_GB2312"/>
          <w:b/>
          <w:bCs/>
          <w:szCs w:val="21"/>
          <w:u w:val="single"/>
          <w:lang w:val="en-US" w:eastAsia="zh-CN"/>
        </w:rPr>
        <w:t xml:space="preserve"> </w:t>
      </w:r>
    </w:p>
    <w:p>
      <w:pPr>
        <w:snapToGrid w:val="0"/>
        <w:jc w:val="both"/>
        <w:rPr>
          <w:rFonts w:hint="eastAsia" w:eastAsia="仿宋_GB2312"/>
          <w:b/>
          <w:bCs/>
          <w:szCs w:val="21"/>
          <w:u w:val="non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  中国法学会法律文书</w:t>
      </w:r>
      <w:r>
        <w:rPr>
          <w:rFonts w:hint="default" w:eastAsia="仿宋_GB2312"/>
          <w:b/>
          <w:bCs/>
          <w:sz w:val="32"/>
          <w:szCs w:val="32"/>
          <w:u w:val="single"/>
          <w:lang w:val="en-US" w:eastAsia="zh-CN"/>
        </w:rPr>
        <w:t>学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袁钢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drawing>
                <wp:inline distT="0" distB="0" distL="0" distR="0">
                  <wp:extent cx="1122045" cy="1558290"/>
                  <wp:effectExtent l="0" t="0" r="1905" b="3810"/>
                  <wp:docPr id="1027" name="图片 1" descr="2inc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" descr="2inch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1979年3月14日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中国政法大学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北京市海淀区西土城路25号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default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代表性著作和论文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《全国性单项体育协会改革的法治化路径》，独著，《体育科学》2019年第1期，被引56次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《中华人民共和国体育法修订基本理论研究》，第二作者，《体育科学》2015年第10期，被引35次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《法律诊所教学评价方法探究》，独著，《法学杂志》2011年第2期，被引19次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《国家治理视阈下中国特色监察制度研究》，独著，《南京大学学报(哲学·人文科学·社会科学)》2019年第2期，被引15次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《法学教育与法律职业资格考试衔接路径研究》，独著，《中国高教研究》2018年第10期，被引12次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北京市法律援助体系实证研究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eastAsia="zh-CN"/>
              </w:rPr>
              <w:t>》，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独著，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中国人民大学出版社2017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年，被引11次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其他论文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《参照国际规则的反兴奋剂立法模式研究》，独著，《政法论坛》2022年第6期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《行政执法文书中的瑕疵问题研究——基于468份律师行政处罚决定书的分析》，独著，《行政法学研究》2022年第1期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《撤销律师执业许可问题研究》，独著，《行政法学研究》2018年第6期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《论我国残疾人体育权利的法律保障》，第一作者，《人权》2022年第4期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《律师“不正当竞争”的正当规制》，独著，《首都师范大学学报》2019年第1期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《我国法律博士专业学位研究生培养模式的探索》，第一作者，《学位与研究生教育》2021年第6期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《我国法律博士专业学位设置的必要性和可行性》，独著，《中国高教研究》2020年第1期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《体育赛事组织者转播权的数据财产属性 ——基于&lt;民法典&gt;和新&lt;体育法&gt;的法教义学分析》，第一作者，《上海体育学院学报》2022年第10期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《不“越位”不“缺位”：体育行政监管的法定化》，独著，《成都体育学院学报》2022年第4期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《接近正义视阙下国际体育仲裁院法律援助制度研究》，独著，《北京体育大学学报》2021年第5期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《奥运会广告规制研究——兼论北京冬奥会广告规制应对》，独著，《武汉体育学院学报》2020年第7期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《基于国际体育组织应尊重和保障运动员人权视角的“Lex Sportiva”的正当性研究》独著，《首都体育学院学报》2019年第2期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lang w:val="en-US" w:eastAsia="zh-CN"/>
              </w:rPr>
              <w:t>An Empirical Analysis of Governance in China’s National Sports Association, Journal of Sports Law, Policy and Governance,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 xml:space="preserve"> 2022，第一作者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专著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《欧盟监察专员制度研究》，独著，中国政法大学出版社，2013年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>《权利回归：国家人权机构研究》，独著，中国法制出版社，2011年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2018年，全国法学会系统先进个人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省部级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2018年《国际高端法治人才研究生培养模式的改革与实践》，荣获北京市高等教育教学成果奖一等奖，第四完成人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省部级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2017年，荣获最高人民法院“优秀法律研修成果”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省部级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2015年，荣获第四届“中国法学教育研究成果奖”三等奖，教育部高等学校法学学科教学指导委员会，全国法律硕士专业学位教育指导委员会，中国法学会法学教育研究会，北京市曾宪义法学教育与法律文化基金会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厅局级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2020年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荣获诊所法律教育优秀科研成果奖，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厅局级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2012年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荣获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首届孙国华法学理论发展基金2012年青年优秀学术成果优秀奖，中国法学会法理学研究会，孙国华法学理论发展基金，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厅局级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2016年，中国政法大学教学优秀奖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校级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2010年，中国政法大学优秀教师奖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校级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2008年，中国政法大学优秀教师奖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校级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00000000"/>
    <w:rsid w:val="1BCD6EDC"/>
    <w:rsid w:val="53B9F6DF"/>
    <w:rsid w:val="53F72C3F"/>
    <w:rsid w:val="5F8FB922"/>
    <w:rsid w:val="8DF32358"/>
    <w:rsid w:val="EFEA9DCF"/>
    <w:rsid w:val="EFFDD7BE"/>
    <w:rsid w:val="FDBEE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4319</Words>
  <Characters>4756</Characters>
  <Paragraphs>512</Paragraphs>
  <TotalTime>3</TotalTime>
  <ScaleCrop>false</ScaleCrop>
  <LinksUpToDate>false</LinksUpToDate>
  <CharactersWithSpaces>4902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2022-12-29T03:44:00Z</dcterms:created>
  <dc:creator>fxhuser</dc:creator>
  <cp:lastModifiedBy>执牛耳</cp:lastModifiedBy>
  <cp:lastPrinted>2023-03-11T06:22:00Z</cp:lastPrinted>
  <dcterms:modified xsi:type="dcterms:W3CDTF">2023-04-27T08:37:29Z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c4313dc714a14282acbe5fc08805b3e2_23</vt:lpwstr>
  </property>
</Properties>
</file>