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陈烨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西藏民族大学法学院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西藏自治区法学会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陈烨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081405" cy="1513840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546" cy="153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．1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．2</w:t>
            </w:r>
            <w:r>
              <w:rPr>
                <w:rFonts w:ascii="宋体" w:hAnsi="宋体"/>
                <w:b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西藏民族大学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陕西省咸阳市文汇东路6号西藏民族大学法学院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陈烨：《刑法中的特殊财产类型研究》，厦门大学出版社，2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年8月；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陈烨：《区分故意类型定罪问题之我见》，载《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中国刑事法杂志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期；（该文被引1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陈烨：《财产性利益与罪刑法定问题》，载《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上海交通大学学报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（社会科学版）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  <w:sz w:val="24"/>
              </w:rPr>
              <w:t>2013年第</w:t>
            </w:r>
            <w:r>
              <w:rPr>
                <w:rFonts w:ascii="楷体_GB2312" w:hAnsi="楷体" w:eastAsia="楷体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  <w:sz w:val="24"/>
              </w:rPr>
              <w:t>期；（该文被引1</w:t>
            </w:r>
            <w:r>
              <w:rPr>
                <w:rFonts w:ascii="楷体_GB2312" w:hAnsi="楷体" w:eastAsia="楷体_GB2312"/>
                <w:b/>
                <w:bCs/>
                <w:color w:val="000000"/>
                <w:sz w:val="24"/>
              </w:rPr>
              <w:t>45</w:t>
            </w:r>
            <w:r>
              <w:rPr>
                <w:rFonts w:hint="eastAsia" w:ascii="楷体_GB2312" w:hAnsi="楷体" w:eastAsia="楷体_GB2312"/>
                <w:b/>
                <w:bCs/>
                <w:color w:val="000000"/>
                <w:sz w:val="24"/>
              </w:rPr>
              <w:t>次）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陈烨：《特殊财产犯罪对象问题研究窘境及破解》，载《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政治与法律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》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2015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期。（该文被引2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.2013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年获得博士研究生国家奖学金；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论文《特殊财产犯罪对象问题的研究窘境及破解》荣获西藏民族大学第十五届优秀科研成果奖三等奖。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170C45"/>
    <w:rsid w:val="003328D9"/>
    <w:rsid w:val="00365B61"/>
    <w:rsid w:val="0052358C"/>
    <w:rsid w:val="0063227C"/>
    <w:rsid w:val="007F2C02"/>
    <w:rsid w:val="00814060"/>
    <w:rsid w:val="009119FF"/>
    <w:rsid w:val="009D746A"/>
    <w:rsid w:val="00C22D59"/>
    <w:rsid w:val="00E07891"/>
    <w:rsid w:val="00F035BE"/>
    <w:rsid w:val="00F2208A"/>
    <w:rsid w:val="00FB06D9"/>
    <w:rsid w:val="1EBD9178"/>
    <w:rsid w:val="2CEFB339"/>
    <w:rsid w:val="2EFBBC48"/>
    <w:rsid w:val="2F773BE4"/>
    <w:rsid w:val="3B9D0C2F"/>
    <w:rsid w:val="3BBF1B45"/>
    <w:rsid w:val="3DFF8C80"/>
    <w:rsid w:val="3FAC72FC"/>
    <w:rsid w:val="3FDF6C0E"/>
    <w:rsid w:val="3FE95ABC"/>
    <w:rsid w:val="461250F9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  <w:rsid w:val="FF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1291</Words>
  <Characters>1419</Characters>
  <Lines>18</Lines>
  <Paragraphs>5</Paragraphs>
  <TotalTime>2</TotalTime>
  <ScaleCrop>false</ScaleCrop>
  <LinksUpToDate>false</LinksUpToDate>
  <CharactersWithSpaces>1614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2023-03-20T15:36:00Z</dcterms:created>
  <dc:creator>fxhuser</dc:creator>
  <cp:lastModifiedBy>执牛耳</cp:lastModifiedBy>
  <cp:lastPrinted>2023-03-18T00:07:00Z</cp:lastPrinted>
  <dcterms:modified xsi:type="dcterms:W3CDTF">2023-04-27T07:48:09Z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89424F5E71F49DDB1FF74464A27A3469_42</vt:lpwstr>
  </property>
</Properties>
</file>