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bookmarkStart w:id="0" w:name="_Hlk129087529"/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靳文辉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重庆大学法学院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重庆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市法学会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</w:t>
      </w:r>
    </w:p>
    <w:p>
      <w:pPr>
        <w:snapToGrid w:val="0"/>
        <w:ind w:firstLine="642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>重庆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大学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法学院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bookmarkEnd w:id="0"/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靳文辉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inline distT="0" distB="0" distL="0" distR="0">
                  <wp:extent cx="1122680" cy="1565275"/>
                  <wp:effectExtent l="0" t="0" r="1270" b="0"/>
                  <wp:docPr id="1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978.12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重庆大学法学院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重庆市沙坪坝区沙正街1</w:t>
            </w:r>
            <w:r>
              <w:rPr>
                <w:rFonts w:ascii="宋体" w:hAnsi="宋体"/>
                <w:b/>
                <w:color w:val="000000"/>
                <w:sz w:val="24"/>
              </w:rPr>
              <w:t>74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（包括专著和论文，只列书名和篇名即可。论文仅限于发表在核心期刊或全国性重要报纸上的。请注明署名方式、发表或出版时间、刊物或出版社、字数。代表性著作和论文请注明中国知网统计的被被引数。）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1" w:firstLineChars="200"/>
              <w:jc w:val="left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主要论文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《空间正义实现的公共规制》，《中国社会科学》，2021年第9期，人大复印资料《宪法学·行政法学》2022年第2期转载，被引2</w:t>
            </w:r>
            <w:r>
              <w:rPr>
                <w:rFonts w:ascii="宋体" w:hAnsi="宋体"/>
                <w:b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次，独立作者；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</w:rPr>
              <w:t>《可行能力、国家作用与权利的行使》，《法学研究》，2014年第1期，独立作者；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3.《风险规制中的央地政府关系之规范建构》，《法学研究》，2022年第5期，《中国社会科学文摘》2</w:t>
            </w:r>
            <w:r>
              <w:rPr>
                <w:rFonts w:ascii="宋体" w:hAnsi="宋体"/>
                <w:b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年第2期转载，独立作者；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《论公共规制的有效实现：以市场主体行动作为中心的分析》，《法商研究》，2014年第3期，人大复印资料《经济法学·劳动法学》2014年第8期转载，被引3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5</w:t>
            </w:r>
            <w:r>
              <w:rPr>
                <w:rFonts w:ascii="宋体" w:hAnsi="宋体"/>
                <w:b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《公共规制的知识基础》，《法学家》，2014年第2期，被引3</w:t>
            </w:r>
            <w:r>
              <w:rPr>
                <w:rFonts w:ascii="宋体" w:hAnsi="宋体"/>
                <w:b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《论地方政府间税收不当竞争及其治理》，《法律科学》，2015年第1期，被引4</w:t>
            </w:r>
            <w:r>
              <w:rPr>
                <w:rFonts w:ascii="宋体" w:hAnsi="宋体"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.《论互联网金融监管组织设计的原理与框架》，《法学》，2017年第4期，被引6</w:t>
            </w:r>
            <w:r>
              <w:rPr>
                <w:rFonts w:ascii="宋体" w:hAnsi="宋体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.《消费者撤回权的反思与重构——基于法律经济学的分析》，《法商研究》，2017年第3期，被引5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</w:rPr>
              <w:t>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.《金融风险预警的法制逻辑》，《法学》，2020年第11期，《高等学校文科学术文摘》2</w:t>
            </w:r>
            <w:r>
              <w:rPr>
                <w:rFonts w:ascii="宋体" w:hAnsi="宋体"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color w:val="000000"/>
                <w:sz w:val="24"/>
              </w:rPr>
              <w:t>年第1期转载，被引5次，独立作者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.《试验型规制制度的理论解释与规范适用》，《现代法学》，2021年第3期，被引1</w:t>
            </w: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11</w:t>
            </w:r>
            <w:r>
              <w:rPr>
                <w:rFonts w:hint="eastAsia" w:ascii="宋体" w:hAnsi="宋体"/>
                <w:color w:val="000000"/>
                <w:sz w:val="24"/>
              </w:rPr>
              <w:t>.金融风险的协同治理及法治实现，《法学家》，2021年第4期，被引</w:t>
            </w:r>
            <w:r>
              <w:rPr>
                <w:rFonts w:ascii="宋体" w:hAnsi="宋体"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2.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《公共规制实施中利益机制的规范建构》，《法商研究》，2022年第4期，《社会科学文摘》2022年第10期转载，独立作者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3.</w:t>
            </w:r>
            <w:r>
              <w:rPr>
                <w:rFonts w:hint="eastAsia" w:ascii="宋体" w:hAnsi="宋体"/>
                <w:color w:val="000000"/>
                <w:sz w:val="24"/>
              </w:rPr>
              <w:t>《国家干预经济中政府失灵的人性解读及其控制》，《现代法学》，2009年第2期，被引1</w:t>
            </w:r>
            <w:r>
              <w:rPr>
                <w:rFonts w:ascii="宋体" w:hAnsi="宋体"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次，第二作者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14.</w:t>
            </w:r>
            <w:r>
              <w:rPr>
                <w:rFonts w:hint="eastAsia" w:ascii="宋体" w:hAnsi="宋体"/>
                <w:color w:val="000000"/>
                <w:sz w:val="24"/>
              </w:rPr>
              <w:t>《税法的社会可接受性论纲》，《甘肃政法学院学报》，2015年第6期，被引1</w:t>
            </w:r>
            <w:r>
              <w:rPr>
                <w:rFonts w:ascii="宋体" w:hAnsi="宋体"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15</w:t>
            </w:r>
            <w:r>
              <w:rPr>
                <w:rFonts w:hint="eastAsia" w:ascii="宋体" w:hAnsi="宋体"/>
                <w:color w:val="000000"/>
                <w:sz w:val="24"/>
              </w:rPr>
              <w:t>.《弹性政府：风险社会应对中的政府模式》，《中国行政管理》，2012年第6期，人大复印资料《公共行政》2012年第9期转载，《政治学文摘》2</w:t>
            </w:r>
            <w:r>
              <w:rPr>
                <w:rFonts w:ascii="宋体" w:hAnsi="宋体"/>
                <w:color w:val="000000"/>
                <w:sz w:val="24"/>
              </w:rPr>
              <w:t>012</w:t>
            </w:r>
            <w:r>
              <w:rPr>
                <w:rFonts w:hint="eastAsia" w:ascii="宋体" w:hAnsi="宋体"/>
                <w:color w:val="000000"/>
                <w:sz w:val="24"/>
              </w:rPr>
              <w:t>年第4期摘要转载，被引6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16</w:t>
            </w:r>
            <w:r>
              <w:rPr>
                <w:rFonts w:hint="eastAsia" w:ascii="宋体" w:hAnsi="宋体"/>
                <w:color w:val="000000"/>
                <w:sz w:val="24"/>
              </w:rPr>
              <w:t>.《论政府经济管理中社会资本的功能》，《国家行政学院学报》，2017年第2期，人大复印资料《管理科学》2017年第9期转载，被引6次，独立作者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17</w:t>
            </w:r>
            <w:r>
              <w:rPr>
                <w:rFonts w:hint="eastAsia" w:ascii="宋体" w:hAnsi="宋体"/>
                <w:color w:val="000000"/>
                <w:sz w:val="24"/>
              </w:rPr>
              <w:t>.《制度竞争、制度互补和制度学习：地方政府制度创新路径论略》，《中国行政管理》，2017年第5期，被引2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18.</w:t>
            </w:r>
            <w:r>
              <w:rPr>
                <w:rFonts w:hint="eastAsia" w:ascii="宋体" w:hAnsi="宋体"/>
                <w:color w:val="000000"/>
                <w:sz w:val="24"/>
              </w:rPr>
              <w:t>《“互联网+”背景下药品网络交易治理的困境及其出路》，《改革》，2019年第10期，被引2</w:t>
            </w:r>
            <w:r>
              <w:rPr>
                <w:rFonts w:ascii="宋体" w:hAnsi="宋体"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次，第二作者，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19</w:t>
            </w:r>
            <w:r>
              <w:rPr>
                <w:rFonts w:hint="eastAsia" w:ascii="宋体" w:hAnsi="宋体"/>
                <w:color w:val="000000"/>
                <w:sz w:val="24"/>
              </w:rPr>
              <w:t>.《宏观调控法律制度的经济学分析》，《中国软科学》，2009年第5期，被引1</w:t>
            </w:r>
            <w:r>
              <w:rPr>
                <w:rFonts w:ascii="宋体" w:hAnsi="宋体"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20.</w:t>
            </w:r>
            <w:r>
              <w:rPr>
                <w:rFonts w:hint="eastAsia" w:ascii="宋体" w:hAnsi="宋体"/>
                <w:color w:val="000000"/>
                <w:sz w:val="24"/>
              </w:rPr>
              <w:t>《地方政府组织结构的优化进路》，《理论探索》，2020年第2期，被引1</w:t>
            </w:r>
            <w:r>
              <w:rPr>
                <w:rFonts w:ascii="宋体" w:hAnsi="宋体"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次，第一作者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</w:rPr>
              <w:t>.《“新财产权”理论视角下的社会救助权及法律保障机制》，《西南民族大学学报》，2014年第8期，被引7次，独立作者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22</w:t>
            </w:r>
            <w:r>
              <w:rPr>
                <w:rFonts w:hint="eastAsia" w:ascii="宋体" w:hAnsi="宋体"/>
                <w:color w:val="000000"/>
                <w:sz w:val="24"/>
              </w:rPr>
              <w:t>.《国家经济干预行为规范化标准的多元构造》，《中国软科学》，2012年第7期，被引7次，独立作者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23</w:t>
            </w:r>
            <w:r>
              <w:rPr>
                <w:rFonts w:hint="eastAsia" w:ascii="宋体" w:hAnsi="宋体"/>
                <w:color w:val="000000"/>
                <w:sz w:val="24"/>
              </w:rPr>
              <w:t>.《城乡统筹战略实施的法律保障》，《社会主义研究》，2008年第6期，被引3次，第一作者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24</w:t>
            </w:r>
            <w:r>
              <w:rPr>
                <w:rFonts w:hint="eastAsia" w:ascii="宋体" w:hAnsi="宋体"/>
                <w:color w:val="000000"/>
                <w:sz w:val="24"/>
              </w:rPr>
              <w:t>.《政府宏观调控行为的伦理基础》，《经济问题探索》，2011年第2期，被引4次，独立作者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25.</w:t>
            </w:r>
            <w:r>
              <w:rPr>
                <w:rFonts w:hint="eastAsia" w:ascii="宋体" w:hAnsi="宋体"/>
                <w:color w:val="000000"/>
                <w:sz w:val="24"/>
              </w:rPr>
              <w:t>公共规制的形式理性及其限度，《甘肃社会科学》，2017年第5期，被引4次，第二作者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26</w:t>
            </w:r>
            <w:r>
              <w:rPr>
                <w:rFonts w:hint="eastAsia" w:ascii="宋体" w:hAnsi="宋体"/>
                <w:color w:val="000000"/>
                <w:sz w:val="24"/>
              </w:rPr>
              <w:t>.《政治权威、政治稳定与政府宏观调控》，《社会主义研究》，2011年第1期，被引1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27</w:t>
            </w:r>
            <w:r>
              <w:rPr>
                <w:rFonts w:hint="eastAsia" w:ascii="宋体" w:hAnsi="宋体"/>
                <w:color w:val="000000"/>
                <w:sz w:val="24"/>
              </w:rPr>
              <w:t>.《“法律”与“行为”最一般关系的理论分析》，《社会科学研究》，2011年第6期，被引7次，独立作者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28.</w:t>
            </w:r>
            <w:r>
              <w:rPr>
                <w:rFonts w:hint="eastAsia" w:ascii="宋体" w:hAnsi="宋体"/>
                <w:color w:val="000000"/>
                <w:sz w:val="24"/>
              </w:rPr>
              <w:t>《论法律的不完备性及其克服》，《理论与改革》，2009年第2期，被引1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</w:rPr>
              <w:t>次，第二作者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29</w:t>
            </w:r>
            <w:r>
              <w:rPr>
                <w:rFonts w:hint="eastAsia" w:ascii="宋体" w:hAnsi="宋体"/>
                <w:color w:val="000000"/>
                <w:sz w:val="24"/>
              </w:rPr>
              <w:t>.传承与超越：和谐社会视域中对司法理念的再认知，《重庆大学学报》，2009年第2期，被引3次，第二作者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30.</w:t>
            </w:r>
            <w:r>
              <w:rPr>
                <w:rFonts w:hint="eastAsia" w:ascii="宋体" w:hAnsi="宋体"/>
                <w:color w:val="000000"/>
                <w:sz w:val="24"/>
              </w:rPr>
              <w:t>《金融科技风险的行政许可规制》，《河南财经政法大学学报》，2</w:t>
            </w:r>
            <w:r>
              <w:rPr>
                <w:rFonts w:ascii="宋体" w:hAnsi="宋体"/>
                <w:color w:val="000000"/>
                <w:sz w:val="24"/>
              </w:rPr>
              <w:t>019</w:t>
            </w:r>
            <w:r>
              <w:rPr>
                <w:rFonts w:hint="eastAsia" w:ascii="宋体" w:hAnsi="宋体"/>
                <w:color w:val="000000"/>
                <w:sz w:val="24"/>
              </w:rPr>
              <w:t>年第1期，被引5次，第一作者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31</w:t>
            </w:r>
            <w:r>
              <w:rPr>
                <w:rFonts w:hint="eastAsia" w:ascii="宋体" w:hAnsi="宋体"/>
                <w:color w:val="000000"/>
                <w:sz w:val="24"/>
              </w:rPr>
              <w:t>.《政府宏观调控行为的司法权保障》，《经济问题探索》，2011年第9期，被引2次，独立作者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32</w:t>
            </w:r>
            <w:r>
              <w:rPr>
                <w:rFonts w:hint="eastAsia" w:ascii="宋体" w:hAnsi="宋体"/>
                <w:color w:val="000000"/>
                <w:sz w:val="24"/>
              </w:rPr>
              <w:t>.《构建双循环新发展格局的经济法回应》，《重庆大学学报》，2021年第1期，被引1</w:t>
            </w:r>
            <w:r>
              <w:rPr>
                <w:rFonts w:ascii="宋体" w:hAnsi="宋体"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次，第一作者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33.</w:t>
            </w:r>
            <w:r>
              <w:rPr>
                <w:rFonts w:hint="eastAsia" w:ascii="宋体" w:hAnsi="宋体"/>
                <w:color w:val="000000"/>
                <w:sz w:val="24"/>
              </w:rPr>
              <w:t>《以金融法治协同创新助力西部金融中心建设》，《重庆日报》2</w:t>
            </w:r>
            <w:r>
              <w:rPr>
                <w:rFonts w:ascii="宋体" w:hAnsi="宋体"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color w:val="000000"/>
                <w:sz w:val="24"/>
              </w:rPr>
              <w:t>年1月2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34.</w:t>
            </w:r>
            <w:r>
              <w:rPr>
                <w:rFonts w:hint="eastAsia" w:ascii="宋体" w:hAnsi="宋体"/>
                <w:color w:val="000000"/>
                <w:sz w:val="24"/>
              </w:rPr>
              <w:t>《协同推进双城经济圈碳达峰碳中和工作》，《重庆日报》2</w:t>
            </w:r>
            <w:r>
              <w:rPr>
                <w:rFonts w:ascii="宋体" w:hAnsi="宋体"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color w:val="000000"/>
                <w:sz w:val="24"/>
              </w:rPr>
              <w:t>年5月5日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35.</w:t>
            </w:r>
            <w:r>
              <w:rPr>
                <w:rFonts w:hint="eastAsia" w:ascii="宋体" w:hAnsi="宋体"/>
                <w:color w:val="000000"/>
                <w:sz w:val="24"/>
              </w:rPr>
              <w:t>The knowledge basis of public regulation，Edward Elgar，2</w:t>
            </w:r>
            <w:r>
              <w:rPr>
                <w:rFonts w:ascii="宋体" w:hAnsi="宋体"/>
                <w:color w:val="000000"/>
                <w:sz w:val="24"/>
              </w:rPr>
              <w:t>015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1" w:firstLineChars="200"/>
              <w:jc w:val="left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专著：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《经济法行为理论研究》，中国政法大学出版社2</w:t>
            </w:r>
            <w:r>
              <w:rPr>
                <w:rFonts w:ascii="宋体" w:hAnsi="宋体"/>
                <w:color w:val="000000"/>
                <w:sz w:val="24"/>
              </w:rPr>
              <w:t>013</w:t>
            </w:r>
            <w:r>
              <w:rPr>
                <w:rFonts w:hint="eastAsia" w:ascii="宋体" w:hAnsi="宋体"/>
                <w:color w:val="000000"/>
                <w:sz w:val="24"/>
              </w:rPr>
              <w:t>年版，独著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《公共规制：话语、理论与实践》，中国社会科学出版社2</w:t>
            </w:r>
            <w:r>
              <w:rPr>
                <w:rFonts w:ascii="宋体" w:hAnsi="宋体"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color w:val="000000"/>
                <w:sz w:val="24"/>
              </w:rPr>
              <w:t>年版，独著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《虚拟经济安全的法律塑造》，重庆大学出版社2</w:t>
            </w:r>
            <w:r>
              <w:rPr>
                <w:rFonts w:ascii="宋体" w:hAnsi="宋体"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color w:val="000000"/>
                <w:sz w:val="24"/>
              </w:rPr>
              <w:t>年版，合著（排序第一）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《中国预防与遏制金融危机对策研究——以虚拟经济安全法律制度建设为视角》，重庆大学出版社2</w:t>
            </w:r>
            <w:r>
              <w:rPr>
                <w:rFonts w:ascii="宋体" w:hAnsi="宋体"/>
                <w:color w:val="000000"/>
                <w:sz w:val="24"/>
              </w:rPr>
              <w:t>012</w:t>
            </w:r>
            <w:r>
              <w:rPr>
                <w:rFonts w:hint="eastAsia" w:ascii="宋体" w:hAnsi="宋体"/>
                <w:color w:val="000000"/>
                <w:sz w:val="24"/>
              </w:rPr>
              <w:t>年版，合著（排序第二）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1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jc w:val="left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一、获得的表彰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重庆英才计划·名家名师，2</w:t>
            </w:r>
            <w:r>
              <w:rPr>
                <w:rFonts w:ascii="宋体" w:hAnsi="宋体"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</w:rPr>
              <w:t>重庆市学科技术带头人后备人选，2</w:t>
            </w:r>
            <w:r>
              <w:rPr>
                <w:rFonts w:ascii="宋体" w:hAnsi="宋体"/>
                <w:color w:val="000000"/>
                <w:sz w:val="24"/>
              </w:rPr>
              <w:t>018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重庆大学科研拔尖人才后备人选，2</w:t>
            </w:r>
            <w:r>
              <w:rPr>
                <w:rFonts w:ascii="宋体" w:hAnsi="宋体"/>
                <w:color w:val="000000"/>
                <w:sz w:val="24"/>
              </w:rPr>
              <w:t>019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重庆大学“河钢奖教金”，2</w:t>
            </w:r>
            <w:r>
              <w:rPr>
                <w:rFonts w:ascii="宋体" w:hAnsi="宋体"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5.重庆大学优秀教师，2</w:t>
            </w:r>
            <w:r>
              <w:rPr>
                <w:rFonts w:ascii="宋体" w:hAnsi="宋体"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重庆大学教书育人奖，2</w:t>
            </w:r>
            <w:r>
              <w:rPr>
                <w:rFonts w:ascii="宋体" w:hAnsi="宋体"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7.</w:t>
            </w:r>
            <w:r>
              <w:rPr>
                <w:rFonts w:hint="eastAsia" w:ascii="宋体" w:hAnsi="宋体"/>
                <w:color w:val="000000"/>
                <w:sz w:val="24"/>
              </w:rPr>
              <w:t>重庆大学先进工作者，2</w:t>
            </w:r>
            <w:r>
              <w:rPr>
                <w:rFonts w:ascii="宋体" w:hAnsi="宋体"/>
                <w:color w:val="000000"/>
                <w:sz w:val="24"/>
              </w:rPr>
              <w:t>019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二、获得的奖项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《经济法行为理论研究》，重庆市人文社科优秀成果三等奖，2</w:t>
            </w:r>
            <w:r>
              <w:rPr>
                <w:rFonts w:ascii="宋体" w:hAnsi="宋体"/>
                <w:color w:val="000000"/>
                <w:sz w:val="24"/>
              </w:rPr>
              <w:t>018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2.《空间正义实现的公共规制》，重庆市法学会优秀成果一等奖，2</w:t>
            </w:r>
            <w:r>
              <w:rPr>
                <w:rFonts w:ascii="宋体" w:hAnsi="宋体"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3.《学科集群体系下法治人才高质量培养模式的探索与实践》，重庆市教学成果二等奖，2</w:t>
            </w:r>
            <w:r>
              <w:rPr>
                <w:rFonts w:ascii="宋体" w:hAnsi="宋体"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4.《司法权保障宏观调控的迷惑与对策》，中国西部法治论坛一等奖，2</w:t>
            </w:r>
            <w:r>
              <w:rPr>
                <w:rFonts w:ascii="宋体" w:hAnsi="宋体"/>
                <w:color w:val="000000"/>
                <w:sz w:val="24"/>
              </w:rPr>
              <w:t>013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5.《税法的社会可接受性论纲》，中国税法学研究会优秀论文三等奖，2</w:t>
            </w:r>
            <w:r>
              <w:rPr>
                <w:rFonts w:ascii="宋体" w:hAnsi="宋体"/>
                <w:color w:val="000000"/>
                <w:sz w:val="24"/>
              </w:rPr>
              <w:t>014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6.《社会效率、意外后果与远程交易中消费者的撤回权》，中国行为法学会“法治中国”一等奖，2</w:t>
            </w:r>
            <w:r>
              <w:rPr>
                <w:rFonts w:ascii="宋体" w:hAnsi="宋体"/>
                <w:color w:val="000000"/>
                <w:sz w:val="24"/>
              </w:rPr>
              <w:t>016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7.《社会效率、意外后果与远程交易中消费者的撤回权》，中国青年法治论坛优秀奖，2</w:t>
            </w:r>
            <w:r>
              <w:rPr>
                <w:rFonts w:ascii="宋体" w:hAnsi="宋体"/>
                <w:color w:val="000000"/>
                <w:sz w:val="24"/>
              </w:rPr>
              <w:t>016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8.《法学专业本硕博联动式教学改革研究》，重庆大学教学成果二等奖，2</w:t>
            </w:r>
            <w:r>
              <w:rPr>
                <w:rFonts w:ascii="宋体" w:hAnsi="宋体"/>
                <w:color w:val="000000"/>
                <w:sz w:val="24"/>
              </w:rPr>
              <w:t>012</w:t>
            </w:r>
            <w:r>
              <w:rPr>
                <w:rFonts w:hint="eastAsia" w:ascii="宋体" w:hAnsi="宋体"/>
                <w:color w:val="000000"/>
                <w:sz w:val="24"/>
              </w:rPr>
              <w:t>年。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both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AFFF087D"/>
    <w:rsid w:val="00015094"/>
    <w:rsid w:val="00040F73"/>
    <w:rsid w:val="001520FD"/>
    <w:rsid w:val="00185911"/>
    <w:rsid w:val="001A6E26"/>
    <w:rsid w:val="00207310"/>
    <w:rsid w:val="0021320D"/>
    <w:rsid w:val="00256F06"/>
    <w:rsid w:val="00267BB4"/>
    <w:rsid w:val="002705E6"/>
    <w:rsid w:val="00281487"/>
    <w:rsid w:val="00281B0E"/>
    <w:rsid w:val="002D1CB7"/>
    <w:rsid w:val="002F1585"/>
    <w:rsid w:val="003011FD"/>
    <w:rsid w:val="00332662"/>
    <w:rsid w:val="00346883"/>
    <w:rsid w:val="003743E7"/>
    <w:rsid w:val="003C3455"/>
    <w:rsid w:val="003D2239"/>
    <w:rsid w:val="004235B2"/>
    <w:rsid w:val="00476DAA"/>
    <w:rsid w:val="00493AB5"/>
    <w:rsid w:val="00496C10"/>
    <w:rsid w:val="004A3F82"/>
    <w:rsid w:val="004A5920"/>
    <w:rsid w:val="004C1D45"/>
    <w:rsid w:val="004D1D46"/>
    <w:rsid w:val="004E4CA0"/>
    <w:rsid w:val="0051290C"/>
    <w:rsid w:val="00517409"/>
    <w:rsid w:val="0052205E"/>
    <w:rsid w:val="0052256E"/>
    <w:rsid w:val="0052358C"/>
    <w:rsid w:val="00525D50"/>
    <w:rsid w:val="005333DD"/>
    <w:rsid w:val="005448AC"/>
    <w:rsid w:val="00571AA2"/>
    <w:rsid w:val="00585B40"/>
    <w:rsid w:val="0058604A"/>
    <w:rsid w:val="005A7351"/>
    <w:rsid w:val="006971DC"/>
    <w:rsid w:val="006A3479"/>
    <w:rsid w:val="006A6F81"/>
    <w:rsid w:val="006B02E1"/>
    <w:rsid w:val="006B6A6C"/>
    <w:rsid w:val="00722000"/>
    <w:rsid w:val="0075248C"/>
    <w:rsid w:val="007545D5"/>
    <w:rsid w:val="007A7BAD"/>
    <w:rsid w:val="00802A48"/>
    <w:rsid w:val="00814781"/>
    <w:rsid w:val="00823CAD"/>
    <w:rsid w:val="00830F39"/>
    <w:rsid w:val="008A1AD6"/>
    <w:rsid w:val="008A4C01"/>
    <w:rsid w:val="008B32C3"/>
    <w:rsid w:val="008C386D"/>
    <w:rsid w:val="008D19AE"/>
    <w:rsid w:val="008F0784"/>
    <w:rsid w:val="00906A73"/>
    <w:rsid w:val="00915EEF"/>
    <w:rsid w:val="0092338E"/>
    <w:rsid w:val="00923FCF"/>
    <w:rsid w:val="00930553"/>
    <w:rsid w:val="00951EB4"/>
    <w:rsid w:val="009522DF"/>
    <w:rsid w:val="00973E1A"/>
    <w:rsid w:val="009B3ADD"/>
    <w:rsid w:val="00A13D45"/>
    <w:rsid w:val="00A16C85"/>
    <w:rsid w:val="00A54106"/>
    <w:rsid w:val="00A658E0"/>
    <w:rsid w:val="00B46480"/>
    <w:rsid w:val="00B841A8"/>
    <w:rsid w:val="00BD3AD3"/>
    <w:rsid w:val="00BF09F9"/>
    <w:rsid w:val="00C157FE"/>
    <w:rsid w:val="00C834CE"/>
    <w:rsid w:val="00CA32D6"/>
    <w:rsid w:val="00CB71B5"/>
    <w:rsid w:val="00D05415"/>
    <w:rsid w:val="00D33C90"/>
    <w:rsid w:val="00DA3FA7"/>
    <w:rsid w:val="00DB76F7"/>
    <w:rsid w:val="00E17880"/>
    <w:rsid w:val="00E66C67"/>
    <w:rsid w:val="00F31BDD"/>
    <w:rsid w:val="00FB06D9"/>
    <w:rsid w:val="00FB3590"/>
    <w:rsid w:val="00FD57DA"/>
    <w:rsid w:val="13EB5C84"/>
    <w:rsid w:val="1EBD9178"/>
    <w:rsid w:val="2CEFB339"/>
    <w:rsid w:val="2EFBBC48"/>
    <w:rsid w:val="2FF2AF4B"/>
    <w:rsid w:val="3B9D0C2F"/>
    <w:rsid w:val="3BBF1B45"/>
    <w:rsid w:val="3DFF8C80"/>
    <w:rsid w:val="3FAC72FC"/>
    <w:rsid w:val="3FDF6C0E"/>
    <w:rsid w:val="3FE95ABC"/>
    <w:rsid w:val="4F9E78B8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3732F48"/>
    <w:rsid w:val="77DFB879"/>
    <w:rsid w:val="7A8FFAC6"/>
    <w:rsid w:val="7AFB59A5"/>
    <w:rsid w:val="7BDF797C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7FF7A13D"/>
    <w:rsid w:val="89835F2F"/>
    <w:rsid w:val="9DBC5BFE"/>
    <w:rsid w:val="A7EB79A2"/>
    <w:rsid w:val="ABC2528A"/>
    <w:rsid w:val="ABFD3B40"/>
    <w:rsid w:val="AE8F304D"/>
    <w:rsid w:val="AEFFBF1E"/>
    <w:rsid w:val="AFFF087D"/>
    <w:rsid w:val="B7D56515"/>
    <w:rsid w:val="B9EF54B5"/>
    <w:rsid w:val="BE3FDE16"/>
    <w:rsid w:val="BEFF65E4"/>
    <w:rsid w:val="BF8F5DB1"/>
    <w:rsid w:val="C7F2A397"/>
    <w:rsid w:val="D7371D03"/>
    <w:rsid w:val="D7FE4373"/>
    <w:rsid w:val="DE7F24A6"/>
    <w:rsid w:val="E3D33B4A"/>
    <w:rsid w:val="ED661AE8"/>
    <w:rsid w:val="EDFF9236"/>
    <w:rsid w:val="EEFDCF1B"/>
    <w:rsid w:val="EF358C7A"/>
    <w:rsid w:val="EFBFEC5E"/>
    <w:rsid w:val="F2715785"/>
    <w:rsid w:val="F2CF0F43"/>
    <w:rsid w:val="F3D759E3"/>
    <w:rsid w:val="F7AEE523"/>
    <w:rsid w:val="F7AF7DD2"/>
    <w:rsid w:val="FAFBA160"/>
    <w:rsid w:val="FBDBA10B"/>
    <w:rsid w:val="FBF77622"/>
    <w:rsid w:val="FDDA8A82"/>
    <w:rsid w:val="FE7F89ED"/>
    <w:rsid w:val="FF6D7F3E"/>
    <w:rsid w:val="FF77D589"/>
    <w:rsid w:val="FFAD001C"/>
    <w:rsid w:val="FFBF67D3"/>
    <w:rsid w:val="FFD77033"/>
    <w:rsid w:val="FFDD66C1"/>
    <w:rsid w:val="FFDF0FB2"/>
    <w:rsid w:val="FF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1065</Words>
  <Characters>6072</Characters>
  <Lines>50</Lines>
  <Paragraphs>14</Paragraphs>
  <TotalTime>3</TotalTime>
  <ScaleCrop>false</ScaleCrop>
  <LinksUpToDate>false</LinksUpToDate>
  <CharactersWithSpaces>7123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2023-02-28T01:43:00Z</dcterms:created>
  <dc:creator>fxhuser</dc:creator>
  <cp:lastModifiedBy>fxhuser</cp:lastModifiedBy>
  <cp:lastPrinted>2022-12-29T00:41:00Z</cp:lastPrinted>
  <dcterms:modified xsi:type="dcterms:W3CDTF">2023-04-27T16:47:50Z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