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李大勇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西北政法大学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西北政法大学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李大勇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58496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1979.3.7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教务处处长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西北政法大学教务处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212121"/>
                <w:kern w:val="0"/>
                <w:sz w:val="24"/>
              </w:rPr>
              <w:t>西安市长安区西长安街558号西北政法大学教务处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一、专著：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1.《行政诉讼司法政策原理论》（独著），法律出版社2017年版，24.7万字；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2．《古希腊城邦民主制论稿》（副主编），西安出版社2005年版，6万字；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《枫桥经验与法治建设》（参编），法律出版社2008年版，3万字；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《公众参与的理论与实践》（参编），法律出版社2010年版，3万字；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《现代政府与裁量权》（参编），法律出版社2010年版，2万字；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二、论文：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.《论行政公益诉讼“不依法履职”的评判标准》，载《行政法学研究》（CSSCI法律核心期刊）2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023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年第3期；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《行政复议与行政诉讼的制度竞争》（独著），《法律科学》（CSSCI法律核心期刊）2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023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年第2期。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《大数据时代网络谣言的合作规制》（独著），载于《行政法学研究》（CSSCI法律核心期刊）2021年第1期，被引用24次；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.《诉访分离司法政策的表达与实践》（独著），《法律科学》（CSSCI法律核心期刊）2021年第4期，被引用2次；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.《我国临时机构的组织法调控与改革》（独著），《当代法学》（CSSCI法律核心期刊）2021年第6期，被引用2次。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6.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《行政强制中的第三人权益保护》（独著），载于《行政法学研究》（CSSCI法律核心期刊）2018年第2期，被引用21次；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7.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《党内法规备案审查的多元标准》（第一作者），载于《理论视野》（CSSCI）2017年第1期，被引用56次；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8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《论司法政策的正当性》（独著），载于《法律科学》（CSSCI法律核心期刊）2017年第1期。被引用28次；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9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《行政诉讼司法政策对市场经济秩序的校正与维护》（独著）,载于《法律科学》（CSSCI法律核心期刊）2015年第2期。人大复印资料《诉讼法学、司法制度》2015年第7期全文转载，被引用5次；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《谣言、言论自由与法律规制》（独著）,载《法学》（CSSCI法律核心期刊）2014年第1期，被引用109次；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11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《司法政策论要———基于行政诉讼的考察》，载于《现代法学》（CSSCI法律核心期刊）2014年第5期。人大复印资料《诉讼法学、司法制度》2015年第3期全文转载，被引用28次；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《论其他行政强制执行方式的界定》（独著），载于《政治与法律》（CSSCI法律核心期刊）2014年第5期，被引用22次；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13.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《行政行为分类的逻辑考量》（独著），载于《法律科学》（CSSCI法律核心期刊）2013年第5期. 人大复印资料《宪法学、行政法学》2014年第1期全文转载，被引用30次；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rFonts w:hint="eastAsia"/>
                <w:sz w:val="24"/>
              </w:rPr>
              <w:t>《最高法院行政诉讼司法政策之演变》，载于《国家检察官学院学报》（CSSCI）2015年第5期。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rFonts w:hint="eastAsia"/>
                <w:sz w:val="24"/>
              </w:rPr>
              <w:t>《行政协调中的裁量规制》（第一作者），载于《行政法学研究》（CSSCI）2016年第5期；</w:t>
            </w:r>
          </w:p>
          <w:p>
            <w:pPr>
              <w:spacing w:line="276" w:lineRule="auto"/>
              <w:ind w:firstLine="240" w:firstLineChars="1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16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《行政许可：技术支持和归责制度的创新》（第二作者），《行政法学研究》（CSSCI法律核心期刊）2010年第 2 期。人大复印资料《宪法、行政法》2010年第10期全文转载；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rFonts w:hint="eastAsia"/>
                <w:sz w:val="24"/>
              </w:rPr>
              <w:t>《行政许可与政事分开》（第二作者），载《法律科学》（CSSCI法律核心期刊）2007年第4期,人大复印资料《宪法学、行政法学》2007年第10期全文转载；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rFonts w:hint="eastAsia"/>
                <w:sz w:val="24"/>
              </w:rPr>
              <w:t>《行政诉讼受案范围的重新解读》（第二作者），《法律科学》（CSSCI法律核心期刊）2006年第6期；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 xml:space="preserve"> 《公告违法行为之合理定位》（第二作者），《法律科学》（CSSCI法律核心期刊）2004年第5期；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rFonts w:hint="eastAsia"/>
                <w:sz w:val="24"/>
              </w:rPr>
              <w:t xml:space="preserve"> 《公益诉讼调查核实权的地方立法与规则重塑》（第一作者），载《人民检察》2022年第4期；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rFonts w:hint="eastAsia"/>
                <w:sz w:val="24"/>
              </w:rPr>
              <w:t xml:space="preserve"> 《法学教育改革与公证人才培养》，载于《法学教育研究》第18卷（CSSCI）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rFonts w:hint="eastAsia"/>
                <w:sz w:val="24"/>
              </w:rPr>
              <w:t xml:space="preserve"> 《旧城改造与合作治理》，载于《民间法》（CSSCI）第20卷，厦门大学出版社。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rFonts w:hint="eastAsia"/>
                <w:sz w:val="24"/>
              </w:rPr>
              <w:t xml:space="preserve"> 《论“其他人身权、财产权等合法权益”的司法保护》，载于《人权研究》（CSSCI），《人权研究》第18卷；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 xml:space="preserve"> 《公立高校董事会之法律地位》，载于《中国教育法制评论》（CSSCI）第14辑，教育科学出版社2017年版。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《信息公开与公众参与关系之透视》，载于《中共福建省委党校学报》（CSSCI）2011年第10期。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 xml:space="preserve"> 《公私合作背景下的代履行》，载于《河南政法干部管理学院学报》（CSSCI）2011年第4期。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 xml:space="preserve"> 《信息公开与卷宗阅览：界限、机理与模式》，载《甘肃政法学院学报》（CSSCI）2011年第2期；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rFonts w:hint="eastAsia"/>
                <w:sz w:val="24"/>
              </w:rPr>
              <w:t>《行政诉讼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私法模式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之批判》，《诉讼法学研究》（CSSCI法律核心集刊）第15卷。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rFonts w:hint="eastAsia"/>
                <w:sz w:val="24"/>
              </w:rPr>
              <w:t>《从原告资格看中国宪政走向：一个关键词的展开》，《诉讼法学研究》（CSSCI法律核心集刊）第16卷。</w:t>
            </w:r>
          </w:p>
          <w:p>
            <w:pPr>
              <w:spacing w:line="276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rFonts w:hint="eastAsia"/>
                <w:sz w:val="24"/>
              </w:rPr>
              <w:t>《行政诉讼证明责任分配:从被告举证到多元主体分担》，载《证据科学》2018年第3期。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《行政许可法意义下的非政府组织》（第二作者）， 载《法治论丛》（《上海政法学院学报》）2006年第3期。人大复印资料《宪法学、行政法学》2006年第8期全文转载。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1.2018年，入选陕西省首批“高层次人才特支计划”青年拔尖人才（省级）。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 xml:space="preserve"> 2023</w:t>
            </w:r>
            <w:r>
              <w:rPr>
                <w:rFonts w:hint="eastAsia" w:ascii="宋体" w:hAnsi="宋体" w:cs="宋体"/>
                <w:sz w:val="24"/>
              </w:rPr>
              <w:t>年，《行政诉讼法学》获陕西省优秀教材二等奖（本科教育类），排名第二，（省级）。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3.2019年，《行政诉讼司法政策原理论》获陕西省高校人文社科优秀成果二等奖，（厅级）。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4.2018</w:t>
            </w:r>
            <w:r>
              <w:rPr>
                <w:rFonts w:hint="eastAsia" w:ascii="宋体" w:hAnsi="宋体" w:cs="宋体"/>
                <w:sz w:val="24"/>
              </w:rPr>
              <w:t>年，《</w:t>
            </w:r>
            <w:r>
              <w:rPr>
                <w:rFonts w:ascii="宋体" w:hAnsi="宋体" w:cs="宋体"/>
                <w:sz w:val="24"/>
              </w:rPr>
              <w:t>依法治理</w:t>
            </w:r>
            <w:r>
              <w:rPr>
                <w:rFonts w:hint="eastAsia" w:ascii="宋体" w:hAnsi="宋体" w:cs="宋体"/>
                <w:sz w:val="24"/>
              </w:rPr>
              <w:t>非</w:t>
            </w:r>
            <w:r>
              <w:rPr>
                <w:rFonts w:ascii="宋体" w:hAnsi="宋体" w:cs="宋体"/>
                <w:sz w:val="24"/>
              </w:rPr>
              <w:t>正常上</w:t>
            </w:r>
            <w:r>
              <w:rPr>
                <w:rFonts w:hint="eastAsia" w:ascii="宋体" w:hAnsi="宋体" w:cs="宋体"/>
                <w:sz w:val="24"/>
              </w:rPr>
              <w:t>访</w:t>
            </w:r>
            <w:r>
              <w:rPr>
                <w:rFonts w:ascii="宋体" w:hAnsi="宋体" w:cs="宋体"/>
                <w:sz w:val="24"/>
              </w:rPr>
              <w:t>法律</w:t>
            </w:r>
            <w:r>
              <w:rPr>
                <w:rFonts w:hint="eastAsia" w:ascii="宋体" w:hAnsi="宋体" w:cs="宋体"/>
                <w:sz w:val="24"/>
              </w:rPr>
              <w:t>对</w:t>
            </w:r>
            <w:r>
              <w:rPr>
                <w:rFonts w:ascii="宋体" w:hAnsi="宋体" w:cs="宋体"/>
                <w:sz w:val="24"/>
              </w:rPr>
              <w:t>策</w:t>
            </w:r>
            <w:r>
              <w:rPr>
                <w:rFonts w:hint="eastAsia" w:ascii="宋体" w:hAnsi="宋体" w:cs="宋体"/>
                <w:sz w:val="24"/>
              </w:rPr>
              <w:t>调研报告》，获得“第三十届全国副省级城市法治论坛二等奖”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（省级）。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5.</w:t>
            </w: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013</w:t>
            </w:r>
            <w:r>
              <w:rPr>
                <w:rFonts w:hint="eastAsia" w:ascii="宋体" w:hAnsi="宋体" w:cs="宋体"/>
                <w:sz w:val="24"/>
              </w:rPr>
              <w:t>年，《信息公开与卷宗阅览：界限、机理与模式》在政府信息公开类行政复议理论研讨会上获优秀论文（厅级）。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. </w:t>
            </w:r>
            <w:r>
              <w:rPr>
                <w:rFonts w:hint="eastAsia" w:ascii="宋体" w:hAnsi="宋体" w:cs="宋体"/>
                <w:sz w:val="24"/>
              </w:rPr>
              <w:t>2016年，西北政法大学“青年教学名师”（校级）。</w:t>
            </w: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. </w:t>
            </w:r>
            <w:r>
              <w:rPr>
                <w:rFonts w:hint="eastAsia" w:ascii="宋体" w:hAnsi="宋体" w:cs="宋体"/>
                <w:sz w:val="24"/>
              </w:rPr>
              <w:t>2022年，西北政法大学第七届教学名师（校级）。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pStyle w:val="9"/>
              <w:spacing w:line="480" w:lineRule="auto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40158"/>
    <w:rsid w:val="00045BC7"/>
    <w:rsid w:val="00092CAC"/>
    <w:rsid w:val="000B7E53"/>
    <w:rsid w:val="000D38BC"/>
    <w:rsid w:val="000F7584"/>
    <w:rsid w:val="00120DC4"/>
    <w:rsid w:val="00184363"/>
    <w:rsid w:val="00185E12"/>
    <w:rsid w:val="001901AB"/>
    <w:rsid w:val="00192CE2"/>
    <w:rsid w:val="00193436"/>
    <w:rsid w:val="001C2E45"/>
    <w:rsid w:val="001F15F5"/>
    <w:rsid w:val="002068B5"/>
    <w:rsid w:val="00214054"/>
    <w:rsid w:val="00265D6B"/>
    <w:rsid w:val="00291162"/>
    <w:rsid w:val="002A6E2A"/>
    <w:rsid w:val="002C0FDE"/>
    <w:rsid w:val="002F4C25"/>
    <w:rsid w:val="002F5027"/>
    <w:rsid w:val="00382373"/>
    <w:rsid w:val="0039074F"/>
    <w:rsid w:val="003C4ADF"/>
    <w:rsid w:val="003D6475"/>
    <w:rsid w:val="003F6C0B"/>
    <w:rsid w:val="00442985"/>
    <w:rsid w:val="00487520"/>
    <w:rsid w:val="004926DD"/>
    <w:rsid w:val="004A59E9"/>
    <w:rsid w:val="004C2A65"/>
    <w:rsid w:val="004C49FC"/>
    <w:rsid w:val="004C750F"/>
    <w:rsid w:val="004D2F96"/>
    <w:rsid w:val="0052358C"/>
    <w:rsid w:val="00525688"/>
    <w:rsid w:val="005A0265"/>
    <w:rsid w:val="005B5A0C"/>
    <w:rsid w:val="005C05CE"/>
    <w:rsid w:val="005F6ECC"/>
    <w:rsid w:val="00601D38"/>
    <w:rsid w:val="00614E49"/>
    <w:rsid w:val="00623594"/>
    <w:rsid w:val="00634602"/>
    <w:rsid w:val="006C380E"/>
    <w:rsid w:val="007D42F5"/>
    <w:rsid w:val="007D7B7A"/>
    <w:rsid w:val="00837284"/>
    <w:rsid w:val="00851675"/>
    <w:rsid w:val="008F002A"/>
    <w:rsid w:val="0092419C"/>
    <w:rsid w:val="009277C7"/>
    <w:rsid w:val="009645E0"/>
    <w:rsid w:val="00965CFD"/>
    <w:rsid w:val="009D52BC"/>
    <w:rsid w:val="009F60F8"/>
    <w:rsid w:val="00A73E53"/>
    <w:rsid w:val="00B03B1A"/>
    <w:rsid w:val="00B67D4B"/>
    <w:rsid w:val="00BA45EF"/>
    <w:rsid w:val="00BF1E3C"/>
    <w:rsid w:val="00C14F52"/>
    <w:rsid w:val="00C15424"/>
    <w:rsid w:val="00C36C2F"/>
    <w:rsid w:val="00C808EE"/>
    <w:rsid w:val="00CA5F22"/>
    <w:rsid w:val="00CB31E0"/>
    <w:rsid w:val="00CD4F88"/>
    <w:rsid w:val="00CD5C5E"/>
    <w:rsid w:val="00D0549C"/>
    <w:rsid w:val="00D36597"/>
    <w:rsid w:val="00D802D5"/>
    <w:rsid w:val="00D838EC"/>
    <w:rsid w:val="00E232EB"/>
    <w:rsid w:val="00E66544"/>
    <w:rsid w:val="00EE26E8"/>
    <w:rsid w:val="00F316B9"/>
    <w:rsid w:val="00F6029E"/>
    <w:rsid w:val="00F929FE"/>
    <w:rsid w:val="00FB06D9"/>
    <w:rsid w:val="02867DBD"/>
    <w:rsid w:val="0BD707DE"/>
    <w:rsid w:val="1EBD9178"/>
    <w:rsid w:val="27DE4FB0"/>
    <w:rsid w:val="27F05BD9"/>
    <w:rsid w:val="28DE1ED5"/>
    <w:rsid w:val="2CEFB339"/>
    <w:rsid w:val="2EFBBC48"/>
    <w:rsid w:val="32151690"/>
    <w:rsid w:val="3B8D3A30"/>
    <w:rsid w:val="3B9D0C2F"/>
    <w:rsid w:val="3BBF1B45"/>
    <w:rsid w:val="3DFF8C80"/>
    <w:rsid w:val="3FAC72FC"/>
    <w:rsid w:val="3FDF6C0E"/>
    <w:rsid w:val="3FE95ABC"/>
    <w:rsid w:val="447F27E4"/>
    <w:rsid w:val="4C3103EA"/>
    <w:rsid w:val="4D455416"/>
    <w:rsid w:val="4FDC649F"/>
    <w:rsid w:val="56EEFD7E"/>
    <w:rsid w:val="57B74E1B"/>
    <w:rsid w:val="591FD8F5"/>
    <w:rsid w:val="5AAC40BB"/>
    <w:rsid w:val="5DCD62C8"/>
    <w:rsid w:val="5DD32290"/>
    <w:rsid w:val="5DF46E1D"/>
    <w:rsid w:val="5DFEE7D4"/>
    <w:rsid w:val="5F3743E3"/>
    <w:rsid w:val="5FBC2178"/>
    <w:rsid w:val="6F9B4CF3"/>
    <w:rsid w:val="6FAF0381"/>
    <w:rsid w:val="6FFF2EC6"/>
    <w:rsid w:val="753D4F28"/>
    <w:rsid w:val="78370287"/>
    <w:rsid w:val="7A604644"/>
    <w:rsid w:val="7A8FFAC6"/>
    <w:rsid w:val="7AFB59A5"/>
    <w:rsid w:val="7BD24D0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FF7BAD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9B6AA6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7131</Words>
  <Characters>7720</Characters>
  <Lines>74</Lines>
  <Paragraphs>20</Paragraphs>
  <TotalTime>443</TotalTime>
  <ScaleCrop>false</ScaleCrop>
  <LinksUpToDate>false</LinksUpToDate>
  <CharactersWithSpaces>7873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2023-03-07T15:44:00Z</dcterms:created>
  <dc:creator>fxhuser</dc:creator>
  <cp:lastModifiedBy>执牛耳</cp:lastModifiedBy>
  <cp:lastPrinted>2022-12-28T16:41:00Z</cp:lastPrinted>
  <dcterms:modified xsi:type="dcterms:W3CDTF">2023-04-27T06:39:13Z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752BED9E775544589CDE97F499325E1C</vt:lpwstr>
  </property>
</Properties>
</file>