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right="1165" w:rightChars="555"/>
        <w:rPr>
          <w:sz w:val="28"/>
          <w:szCs w:val="28"/>
        </w:rPr>
      </w:pPr>
    </w:p>
    <w:p>
      <w:pPr>
        <w:snapToGrid w:val="0"/>
        <w:ind w:right="1165" w:rightChars="555"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罗国强                   </w:t>
      </w:r>
    </w:p>
    <w:p>
      <w:pPr>
        <w:snapToGrid w:val="0"/>
        <w:ind w:right="1165" w:rightChars="555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1165" w:rightChars="555"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thick"/>
        </w:rPr>
        <w:t xml:space="preserve">      浙江大学光华法学院       </w:t>
      </w:r>
    </w:p>
    <w:p>
      <w:pPr>
        <w:snapToGrid w:val="0"/>
        <w:ind w:right="1165" w:rightChars="555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right="1165" w:rightChars="555"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中国国际私法研究会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default"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</w:t>
      </w:r>
    </w:p>
    <w:p>
      <w:pPr>
        <w:snapToGrid w:val="0"/>
        <w:ind w:right="1165" w:rightChars="555" w:firstLine="643" w:firstLineChars="200"/>
        <w:jc w:val="center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none"/>
          <w:lang w:eastAsia="zh-Hans"/>
        </w:rPr>
        <w:t xml:space="preserve">     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中国法学会国际经济法学研究会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</w:t>
      </w:r>
    </w:p>
    <w:p>
      <w:pPr>
        <w:snapToGrid w:val="0"/>
        <w:ind w:right="1165" w:rightChars="555" w:firstLine="1908" w:firstLineChars="594"/>
        <w:jc w:val="left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海峡两岸关系法学研究会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</w:t>
      </w:r>
    </w:p>
    <w:p>
      <w:pPr>
        <w:snapToGrid w:val="0"/>
        <w:ind w:right="1165" w:rightChars="555" w:firstLine="1908" w:firstLineChars="594"/>
        <w:jc w:val="left"/>
        <w:rPr>
          <w:rFonts w:hint="default" w:eastAsia="仿宋_GB2312"/>
          <w:b/>
          <w:bCs/>
          <w:sz w:val="32"/>
          <w:szCs w:val="32"/>
          <w:u w:val="single"/>
          <w:lang w:eastAsia="zh-Hans"/>
        </w:rPr>
      </w:pP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val="en-US" w:eastAsia="zh-Hans"/>
        </w:rPr>
        <w:t>中国仲裁法学研究会</w:t>
      </w:r>
      <w:r>
        <w:rPr>
          <w:rFonts w:hint="default" w:eastAsia="仿宋_GB2312"/>
          <w:b/>
          <w:bCs/>
          <w:sz w:val="32"/>
          <w:szCs w:val="32"/>
          <w:u w:val="single"/>
          <w:lang w:eastAsia="zh-Hans"/>
        </w:rPr>
        <w:t xml:space="preserve">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填表说明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联系人：魏丽莎于晓航  010-66</w:t>
      </w:r>
      <w:r>
        <w:rPr>
          <w:rFonts w:ascii="仿宋" w:hAnsi="仿宋" w:eastAsia="仿宋"/>
          <w:color w:val="000000"/>
          <w:sz w:val="28"/>
          <w:szCs w:val="28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9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6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罗国强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drawing>
                <wp:inline distT="0" distB="0" distL="0" distR="0">
                  <wp:extent cx="904875" cy="1257300"/>
                  <wp:effectExtent l="19050" t="0" r="9525" b="0"/>
                  <wp:docPr id="1" name="图片 1" descr="E:\图片\证件照\IMG_16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:\图片\证件照\IMG_16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1977.12.31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无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浙江大学光华法学院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杭州之江路51号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left"/>
              <w:rPr>
                <w:rFonts w:ascii="楷体_GB2312" w:hAnsi="楷体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8"/>
                <w:szCs w:val="28"/>
              </w:rPr>
              <w:t>一、著作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eastAsia="楷体_GB2312"/>
                <w:b/>
                <w:color w:val="000000"/>
                <w:sz w:val="24"/>
              </w:rPr>
              <w:t>1、独著：《国际法本体论》，法律出版社2008年版&amp;中国社会科学出版社2015年版，44万字，被引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（</w:t>
            </w:r>
            <w:r>
              <w:rPr>
                <w:rFonts w:eastAsia="楷体_GB2312"/>
                <w:b/>
                <w:color w:val="000000"/>
                <w:sz w:val="24"/>
              </w:rPr>
              <w:t>中国知网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“被引文献”检索</w:t>
            </w:r>
            <w:r>
              <w:rPr>
                <w:rFonts w:eastAsia="楷体_GB2312"/>
                <w:b/>
                <w:color w:val="000000"/>
                <w:sz w:val="24"/>
              </w:rPr>
              <w:t>统计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，下同）382</w:t>
            </w:r>
            <w:r>
              <w:rPr>
                <w:rFonts w:eastAsia="楷体_GB2312"/>
                <w:b/>
                <w:color w:val="000000"/>
                <w:sz w:val="24"/>
              </w:rPr>
              <w:t>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2、独著：《离岸金融法研究》，法律出版社2008年版，24万字，被引375次。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3、独著：《论自然国际法的基本原则》，武汉大学出版社2011年版，21万字，被引87次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4</w:t>
            </w:r>
            <w:r>
              <w:rPr>
                <w:rFonts w:eastAsia="楷体_GB2312"/>
                <w:b/>
                <w:color w:val="000000"/>
                <w:sz w:val="24"/>
              </w:rPr>
              <w:t>、第一作者译著：《自然法与国际法》，北京大学出版社2012年版，45万字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，被引871次</w:t>
            </w:r>
            <w:r>
              <w:rPr>
                <w:rFonts w:eastAsia="楷体_GB2312"/>
                <w:b/>
                <w:color w:val="000000"/>
                <w:sz w:val="24"/>
              </w:rPr>
              <w:t>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5、主编：《反腐败国际合作研究与展望》，法律出版社2020年版，20万字，被引79次。</w:t>
            </w:r>
          </w:p>
          <w:p>
            <w:pPr>
              <w:tabs>
                <w:tab w:val="left" w:pos="4185"/>
              </w:tabs>
              <w:snapToGrid w:val="0"/>
              <w:jc w:val="left"/>
              <w:rPr>
                <w:rFonts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eastAsia="楷体_GB2312"/>
                <w:b/>
                <w:color w:val="000000"/>
                <w:sz w:val="28"/>
                <w:szCs w:val="28"/>
              </w:rPr>
              <w:t>二、论文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eastAsia="楷体_GB2312"/>
                <w:color w:val="000000"/>
                <w:sz w:val="24"/>
              </w:rPr>
              <w:t>、</w:t>
            </w:r>
            <w:r>
              <w:rPr>
                <w:rFonts w:hint="eastAsia" w:eastAsia="楷体_GB2312"/>
                <w:color w:val="000000"/>
                <w:sz w:val="24"/>
              </w:rPr>
              <w:t>独著：《开放式基金监管研究——从比较法的角度》，载《国际金融研究》2001年第11期，被引（中国知网按“篇名”检索项下的“被引”统计，下同）8次。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2、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独著：《从战争与和平法看“和平崛起”的国际法基础》，载《比较法研究》2005年第6期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，被引21次。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3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、独著：《人道主义干涉的国际法理论新发展述评》，载《法学》2006年第11期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，被引36次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4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、独著：《实在国际法的危机与强行法的作用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》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，载《法学》2007年第2期，《人大复印资料》（国际法学）2007年第5期全文转载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，被引20次。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5、独著：《安理会改革核心问题研究》，载《当代亚太》2007年第3期，被引9次。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6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、独著：《论自然法的否定之否定与国际法的构成》，载《法学评论》2007年第4期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，被引18次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7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、独著：《欧盟共同农业政策与多哈回合僵局》，载《农业经济问题》2007年第7期，《人大复印资料》（农业经济）2007年第11期全文转载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，被引19次。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8</w:t>
            </w:r>
            <w:r>
              <w:rPr>
                <w:rFonts w:eastAsia="楷体_GB2312"/>
                <w:b/>
                <w:color w:val="000000"/>
                <w:sz w:val="24"/>
              </w:rPr>
              <w:t>、独著：《四百年国际关系的流变及其与国际法的互动》，载《新疆大学学报》（社会科学版）2007年第4期，《人大复印资料》2007年第11期全文转载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，被引3次。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9</w:t>
            </w:r>
            <w:r>
              <w:rPr>
                <w:rFonts w:eastAsia="楷体_GB2312"/>
                <w:color w:val="000000"/>
                <w:sz w:val="24"/>
              </w:rPr>
              <w:t>、独著：《西方自然法思想的流变》，载《国外社会科学》2008年第3期</w:t>
            </w:r>
            <w:r>
              <w:rPr>
                <w:rFonts w:hint="eastAsia" w:eastAsia="楷体_GB2312"/>
                <w:color w:val="000000"/>
                <w:sz w:val="24"/>
              </w:rPr>
              <w:t>，被引44次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0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、独著：《跨国银行风险监管的法律问题》，载《法学》2008年第3期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，被引15次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</w:rPr>
              <w:t>1</w:t>
            </w:r>
            <w:r>
              <w:rPr>
                <w:rFonts w:eastAsia="楷体_GB2312"/>
                <w:color w:val="000000"/>
                <w:sz w:val="24"/>
              </w:rPr>
              <w:t>、独著：《枉法仲裁罪思辨》，载《中国刑事法杂志》2009年第1期</w:t>
            </w:r>
            <w:r>
              <w:rPr>
                <w:rFonts w:hint="eastAsia" w:eastAsia="楷体_GB2312"/>
                <w:color w:val="000000"/>
                <w:sz w:val="24"/>
              </w:rPr>
              <w:t>，被引15次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2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、独著：《中国海外流失文物追索的国际法困境与出路》，载《法商研究》2009年第3期；《高等学校文科学术文摘》2009年第4期转摘；《人大复印资料》（国际法学）2009年第10期全文转载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，被引36次。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</w:rPr>
              <w:t>3</w:t>
            </w:r>
            <w:r>
              <w:rPr>
                <w:rFonts w:eastAsia="楷体_GB2312"/>
                <w:color w:val="000000"/>
                <w:sz w:val="24"/>
              </w:rPr>
              <w:t>、</w:t>
            </w:r>
            <w:r>
              <w:rPr>
                <w:rFonts w:hint="eastAsia" w:eastAsia="楷体_GB2312"/>
                <w:color w:val="000000"/>
                <w:sz w:val="24"/>
              </w:rPr>
              <w:t>独著：《国际法的性质与效力依据》，载《浙江社会科学》</w:t>
            </w:r>
            <w:r>
              <w:rPr>
                <w:rFonts w:eastAsia="楷体_GB2312"/>
                <w:color w:val="000000"/>
                <w:sz w:val="24"/>
              </w:rPr>
              <w:t>2009</w:t>
            </w:r>
            <w:r>
              <w:rPr>
                <w:rFonts w:hint="eastAsia" w:eastAsia="楷体_GB2312"/>
                <w:color w:val="000000"/>
                <w:sz w:val="24"/>
              </w:rPr>
              <w:t>年第</w:t>
            </w:r>
            <w:r>
              <w:rPr>
                <w:rFonts w:eastAsia="楷体_GB2312"/>
                <w:color w:val="000000"/>
                <w:sz w:val="24"/>
              </w:rPr>
              <w:t>3</w:t>
            </w:r>
            <w:r>
              <w:rPr>
                <w:rFonts w:hint="eastAsia" w:eastAsia="楷体_GB2312"/>
                <w:color w:val="000000"/>
                <w:sz w:val="24"/>
              </w:rPr>
              <w:t>期，被引14次。</w:t>
            </w:r>
          </w:p>
          <w:p>
            <w:pPr>
              <w:jc w:val="lef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14、独著：《论中国离岸金融风险监管法制的构建与完善》，载《学海》2009年第4期，被引14次。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jc w:val="lef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15、</w:t>
            </w:r>
            <w:r>
              <w:rPr>
                <w:rFonts w:eastAsia="楷体_GB2312"/>
                <w:bCs/>
                <w:color w:val="000000"/>
                <w:sz w:val="24"/>
              </w:rPr>
              <w:t>独著：Crime of Law-Bending Arbitration in Chinese Criminal Law and Its Effect on International Commercial Arbitration, Yearbook of Private International Law, Volume 11 (2009).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eastAsia="楷体_GB2312"/>
                <w:b/>
                <w:bCs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6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、独著：《一般法律原则的困境与出路》，载《法学评论》2010年第2期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，被引37次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eastAsia="楷体_GB2312"/>
                <w:color w:val="000000"/>
                <w:sz w:val="24"/>
              </w:rPr>
              <w:t>1</w:t>
            </w:r>
            <w:r>
              <w:rPr>
                <w:rFonts w:hint="eastAsia" w:eastAsia="楷体_GB2312"/>
                <w:color w:val="000000"/>
                <w:sz w:val="24"/>
              </w:rPr>
              <w:t>7</w:t>
            </w:r>
            <w:r>
              <w:rPr>
                <w:rFonts w:eastAsia="楷体_GB2312"/>
                <w:color w:val="000000"/>
                <w:sz w:val="24"/>
              </w:rPr>
              <w:t>、独著：《普芬道夫自然法与国际法理论述评》，载《浙江大学学报》2010年第4期</w:t>
            </w:r>
            <w:r>
              <w:rPr>
                <w:rFonts w:hint="eastAsia" w:eastAsia="楷体_GB2312"/>
                <w:color w:val="000000"/>
                <w:sz w:val="24"/>
              </w:rPr>
              <w:t>，被引18次</w:t>
            </w:r>
            <w:r>
              <w:rPr>
                <w:rFonts w:eastAsia="楷体_GB2312"/>
                <w:color w:val="000000"/>
                <w:sz w:val="24"/>
              </w:rPr>
              <w:t>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18、独著：《多边路径在解决南海争端中的作用及其构建》，载《法学论坛》2010年第4期，被引70次。</w:t>
            </w:r>
          </w:p>
          <w:p>
            <w:pPr>
              <w:jc w:val="lef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19、独著：《论离岸金融市场准入监管法制》，载《上海金融》2010年第6期，被引24次。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20、独著：《论国际条约的国内适用问题》，载《兰州学刊》2010年第6期，被引32次。</w:t>
            </w:r>
          </w:p>
          <w:p>
            <w:pPr>
              <w:jc w:val="lef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21、独著：《论离岸金融交易的特殊性及其纠纷管辖问题》，载《国际经贸探索》2010年第12期，被引3次。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22、第一作者：《争议岛屿在海洋划界中的法律效力——兼析钓鱼岛作为争议岛屿的法律效力》，载《当代法学》2011年第1期；《中国社会科学文摘》2011年第5期转摘，被引47次。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23、第一作者：《法国新能源法律与政策及其对中国的启示》，载《天府新论》2011年第2期，被引19次。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24、独著：《国际刑事法院的管辖权与执行权问题》，载《华中科技大学学报》（社会科学版）2011年第2期，被引19次。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25、独著：《试析人道主义干涉的条件与方式》，载《时代法学》2011年第3期，被引13次。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26、独著：《共同开发政策在海洋争端解决中的实际效果》，载《法学杂志》2011年第4期，被引39次。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30、独著：《离岸金融交易争端中的法律规避和公共秩序保留》，载《财经科学》2011年第8期，《人大复印资料》（金融与保险）2011年第12期全文转载，被引11次。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31、独著：《论离岸货币交易争端的法律适用问题》，载《浙江社会科学》2011年第9期，被引3次。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32、第一作者：</w:t>
            </w:r>
            <w:r>
              <w:rPr>
                <w:rFonts w:eastAsia="楷体_GB2312"/>
                <w:b/>
                <w:color w:val="000000"/>
                <w:sz w:val="24"/>
              </w:rPr>
              <w:t>《南海共同开发案例研究》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，载</w:t>
            </w:r>
            <w:r>
              <w:rPr>
                <w:rFonts w:eastAsia="楷体_GB2312"/>
                <w:b/>
                <w:color w:val="000000"/>
                <w:sz w:val="24"/>
              </w:rPr>
              <w:t>《南洋问题研究》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2012年第2期；《人大复印资料》（国际法学）2012年第9期全文转载，被引26次。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33、独著：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《理解南海共同开发与航行自由问题的新思路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——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基于国际法视角看南海争端的解决路径》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，载</w:t>
            </w:r>
            <w:r>
              <w:rPr>
                <w:rFonts w:eastAsia="楷体_GB2312"/>
                <w:b/>
                <w:bCs/>
                <w:color w:val="000000"/>
                <w:sz w:val="24"/>
              </w:rPr>
              <w:t>《当代亚太》</w:t>
            </w: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2012年第3期；《人大复印资料》（中国外交）2012年第9期全文转载，被引43次。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34、独著：《日本“购岛”之举的国际法效力解析》，载《现代国际关系》2012年第10期，被引10次。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35、独著：《钓鱼岛争端的解决进路辨析》，载《太平洋学报》2012年第12期，被引6次。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36、第一作者：《论国际舆论对国际法的影响——兼析对解决东海南海争端的启示》，载《南洋问题研究》2013年第3期，被引11次。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37、独著：《&lt;联合国海洋法公约&gt;的立法特点及其对中国的影响》，载《云南社会科学》2014年第1期，被引44次。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38、独著：《评菲律宾就南海争端提起国际仲裁的法律运作》，载《华东师范大学学报》（哲学社会科学版）2014年第1期，被引17次。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39、独著：《东盟及其成员国关于南海行为准则之议案评析》，载《世界经济与政治》2014年第7期；《人大复印资料》（中国外交）2014年第9期全文转载，被引43次。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40、独著：《日本解禁集体自卫权之国际违法性分析》，载《法学评论》2014年第6期，《人大复印资料》（法学文摘）2015年第1期转摘，被引8次。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41、独著：《重读平等：正义与公平的形式要求》，载《求索》2014年第8期，被引4次。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42、独著：《中国国际法发展之新思路》，载《新疆大学学报》2014年第4期，被引6次。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43、独著：《&lt;中日东海问题原则共识&gt;与东海共同开发》，载《法学论坛》2015年第1期，被引17次。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44、独著：《独立、分离与民族自决的法律困局》，载《政法论丛》2015年第1期，被引18次。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45、独著：《论当代国际法基本价值之构建》，载《南通大学学报》（社会科学版）2015年第1期，被引9次。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46、第一作者：《菲律宾诉中国南海仲裁案管辖权问题剖析——结合中国&lt;立场文件&gt;的分析》，载《现代国际关系》2015年第1期，被引22次。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47、独著：《重读善意：一种实践理性》，载《湖南师范大学社会科学学报》2015年第5期；《人大复印资料》（法理学、法史学）2016年第5期全文转载，被引3次。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48、独著：《美国&lt;与台湾关系法&gt;的立法特点与法律实效》，载《太平洋学报》2015年第10期，被引9次。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49、独著：《中国在南海填海造地的合法性问题》，载《南洋问题研究》2015年第3期，被引29次。</w:t>
            </w:r>
          </w:p>
          <w:p>
            <w:pPr>
              <w:jc w:val="left"/>
              <w:rPr>
                <w:rFonts w:eastAsia="楷体_GB2312"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Cs/>
                <w:color w:val="000000"/>
                <w:sz w:val="24"/>
              </w:rPr>
              <w:t>50、独著：《南海仲裁案初步裁决评析》，载《外交评论》2016年第2期，被引26次。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51、第一作者：《论防空识别区的性质——“灰色地带”的成因与特点》，载《太平洋学报》2016年第2期，被引4次。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52、第一作者：《</w:t>
            </w:r>
            <w:r>
              <w:fldChar w:fldCharType="begin"/>
            </w:r>
            <w:r>
              <w:instrText xml:space="preserve"> HYPERLINK "http://www.rwzz177.com/oa/darticle.aspx?type=view&amp;id=201609006" \t "_blank" </w:instrText>
            </w:r>
            <w:r>
              <w:fldChar w:fldCharType="separate"/>
            </w:r>
            <w:r>
              <w:rPr>
                <w:rFonts w:eastAsia="楷体_GB2312"/>
                <w:color w:val="000000"/>
                <w:sz w:val="24"/>
              </w:rPr>
              <w:t>总体安全观下</w:t>
            </w:r>
            <w:r>
              <w:rPr>
                <w:rFonts w:hint="eastAsia" w:eastAsia="楷体_GB2312"/>
                <w:color w:val="000000"/>
                <w:sz w:val="24"/>
              </w:rPr>
              <w:t>“</w:t>
            </w:r>
            <w:r>
              <w:rPr>
                <w:rFonts w:eastAsia="楷体_GB2312"/>
                <w:color w:val="000000"/>
                <w:sz w:val="24"/>
              </w:rPr>
              <w:t>一带一路</w:t>
            </w:r>
            <w:r>
              <w:rPr>
                <w:rFonts w:hint="eastAsia" w:eastAsia="楷体_GB2312"/>
                <w:color w:val="000000"/>
                <w:sz w:val="24"/>
              </w:rPr>
              <w:t>”</w:t>
            </w:r>
            <w:r>
              <w:rPr>
                <w:rFonts w:eastAsia="楷体_GB2312"/>
                <w:color w:val="000000"/>
                <w:sz w:val="24"/>
              </w:rPr>
              <w:t>的和平与安全问题及其法制构建</w:t>
            </w:r>
            <w:r>
              <w:rPr>
                <w:rFonts w:eastAsia="楷体_GB2312"/>
                <w:color w:val="000000"/>
                <w:sz w:val="24"/>
              </w:rPr>
              <w:fldChar w:fldCharType="end"/>
            </w:r>
            <w:r>
              <w:rPr>
                <w:rFonts w:hint="eastAsia" w:eastAsia="楷体_GB2312"/>
                <w:color w:val="000000"/>
                <w:sz w:val="24"/>
              </w:rPr>
              <w:t>》，载《人文杂志》2016年第9期，被引8次。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53、独著：《论“南海仲裁案”仲裁裁决的枉法性》，载《当代法学》2016年第6期，被引38次。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54、独著：《</w:t>
            </w:r>
            <w:r>
              <w:rPr>
                <w:rFonts w:eastAsia="楷体_GB2312"/>
                <w:color w:val="000000"/>
                <w:sz w:val="24"/>
              </w:rPr>
              <w:t>特殊政府继承中的时际法律冲突及其处理原则</w:t>
            </w:r>
            <w:r>
              <w:rPr>
                <w:rFonts w:hint="eastAsia" w:eastAsia="楷体_GB2312"/>
                <w:color w:val="000000"/>
                <w:sz w:val="24"/>
              </w:rPr>
              <w:t>——</w:t>
            </w:r>
            <w:r>
              <w:rPr>
                <w:rFonts w:eastAsia="楷体_GB2312"/>
                <w:color w:val="000000"/>
                <w:sz w:val="24"/>
              </w:rPr>
              <w:t>以新视角重读</w:t>
            </w:r>
            <w:r>
              <w:rPr>
                <w:rFonts w:hint="eastAsia" w:eastAsia="楷体_GB2312"/>
                <w:color w:val="000000"/>
                <w:sz w:val="24"/>
              </w:rPr>
              <w:t>“</w:t>
            </w:r>
            <w:r>
              <w:rPr>
                <w:rFonts w:eastAsia="楷体_GB2312"/>
                <w:color w:val="000000"/>
                <w:sz w:val="24"/>
              </w:rPr>
              <w:t>光华寮案</w:t>
            </w:r>
            <w:r>
              <w:rPr>
                <w:rFonts w:hint="eastAsia" w:eastAsia="楷体_GB2312"/>
                <w:color w:val="000000"/>
                <w:sz w:val="24"/>
              </w:rPr>
              <w:t>”</w:t>
            </w:r>
            <w:r>
              <w:rPr>
                <w:rFonts w:eastAsia="楷体_GB2312"/>
                <w:color w:val="000000"/>
                <w:sz w:val="24"/>
              </w:rPr>
              <w:t>和联大2758号决议</w:t>
            </w:r>
            <w:r>
              <w:rPr>
                <w:rFonts w:hint="eastAsia" w:eastAsia="楷体_GB2312"/>
                <w:color w:val="000000"/>
                <w:sz w:val="24"/>
              </w:rPr>
              <w:t>》，载《太平洋学报》2017年第3期，被引5次。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55、独著：《政府承认的性质及其所适用的原则》，载《山西大学学报》（哲学社会科学版）2017年第5期，被引9次。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56、独著：《</w:t>
            </w:r>
            <w:r>
              <w:rPr>
                <w:rFonts w:eastAsia="楷体_GB2312"/>
                <w:color w:val="000000"/>
                <w:sz w:val="24"/>
              </w:rPr>
              <w:t>政府继承的内容、方式与原则新解</w:t>
            </w:r>
            <w:r>
              <w:rPr>
                <w:rFonts w:hint="eastAsia" w:eastAsia="楷体_GB2312"/>
                <w:color w:val="000000"/>
                <w:sz w:val="24"/>
              </w:rPr>
              <w:t>》，载《江苏大学学报》（社会科学版）2018年第1期，被引2次。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57、独著：《特殊政府承认与继承的性质分析》，载《政法论丛》2018年第1期，被引4次。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58、第一作者：《中国历史性权利的定位与出路》，载《南通大学学报》（社会科学版）2018年第1期，被引5次。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59、第一作者：《历史性水域的性质与协调——以南海断续线内水域为研究对象》，载《国际论坛》2018年第1期，被引7次。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60、第一作者：《国家援引自卫权打击恐怖主义可能性之维度》，载《武大国际法评论》2018年第3期，被引8次。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b/>
                <w:bCs/>
                <w:color w:val="000000"/>
                <w:sz w:val="24"/>
              </w:rPr>
              <w:t>61、独著：《论台湾旅行法对国际法的违反》，载《比较法研究》2018年第6期，被引7次。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62、独著：《</w:t>
            </w:r>
            <w:r>
              <w:rPr>
                <w:rFonts w:eastAsia="楷体_GB2312"/>
                <w:color w:val="000000"/>
                <w:sz w:val="24"/>
              </w:rPr>
              <w:t>海洋争端法律解决机制执行比较研究</w:t>
            </w:r>
            <w:r>
              <w:rPr>
                <w:rFonts w:hint="eastAsia" w:eastAsia="楷体_GB2312"/>
                <w:color w:val="000000"/>
                <w:sz w:val="24"/>
              </w:rPr>
              <w:t>》，载《中国海洋大学学报》（社会科学版）2019年第4期，被引4次。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63、第一作者：《国际法庭咨询管辖权的扩张倾向与中国策略》，载《学术界》2019年第10期，被引21次。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64、第一作者：《&lt;联合国海洋法公约&gt;安全地带制度浅析——兼论对美国南海“航行自由”活动的回应》，载《南洋问题研究》2019年第4期，被引5次。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65、第一作者：《人类命运共同体的国际法价值研究》，载《新疆大学学报》（哲学·人文社会科学版）2020年第2期，被引11次。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66、独著：《新冠肺炎疫情国际法律责任辨析》，载《武大国际法评论》2020年第3期，被引6次。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67、第一作者：《</w:t>
            </w:r>
            <w:r>
              <w:rPr>
                <w:rFonts w:eastAsia="楷体_GB2312"/>
                <w:color w:val="000000"/>
                <w:sz w:val="24"/>
              </w:rPr>
              <w:t>海洋核动力平台安全地带法律制度研究</w:t>
            </w:r>
            <w:r>
              <w:rPr>
                <w:rFonts w:hint="eastAsia" w:eastAsia="楷体_GB2312"/>
                <w:color w:val="000000"/>
                <w:sz w:val="24"/>
              </w:rPr>
              <w:t>》，载《太平洋学报》2020年第10期，被引2次。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68、第一作者：《&lt;联合国海洋法公约&gt;附件七仲裁庭管辖权的发展倾向和中国应对》，载《河北法学》2020年第12期，被引5次。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69、独著：《美国“台北法案”的立法特点与思考》，载《台湾研究》2020年第6期；《人大复印资料》（台、港、澳研究）2021年第2期全文转载，被引1次。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70、独著：《</w:t>
            </w:r>
            <w:r>
              <w:rPr>
                <w:rFonts w:eastAsia="楷体_GB2312"/>
                <w:color w:val="000000"/>
                <w:sz w:val="24"/>
              </w:rPr>
              <w:t>新时代中国国际法治思维的革新与中国共产党之历史使命</w:t>
            </w:r>
            <w:r>
              <w:rPr>
                <w:rFonts w:hint="eastAsia" w:eastAsia="楷体_GB2312"/>
                <w:color w:val="000000"/>
                <w:sz w:val="24"/>
              </w:rPr>
              <w:t>》，载《吉林大学社会科学学报》2021年第1期，被引1次。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71、独著：《</w:t>
            </w:r>
            <w:r>
              <w:rPr>
                <w:rFonts w:eastAsia="楷体_GB2312"/>
                <w:b/>
                <w:color w:val="000000"/>
                <w:sz w:val="24"/>
              </w:rPr>
              <w:t>新冠疫情“法律战”关键点分析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——</w:t>
            </w:r>
            <w:r>
              <w:rPr>
                <w:rFonts w:eastAsia="楷体_GB2312"/>
                <w:b/>
                <w:color w:val="000000"/>
                <w:sz w:val="24"/>
              </w:rPr>
              <w:t>从宏观国际法的角度</w:t>
            </w:r>
            <w:r>
              <w:rPr>
                <w:rFonts w:hint="eastAsia" w:eastAsia="楷体_GB2312"/>
                <w:b/>
                <w:color w:val="000000"/>
                <w:sz w:val="24"/>
              </w:rPr>
              <w:t>》，载《国际论坛》2021年第2期，被引1次。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72、独著：《中国政府承认与继承史考》，载《学术界》2021年第3期，被引2次。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73、第一作者：《“区域”内活动的担保国法律保障机制研究》，载《江苏大学学报》（社会科学版）2021年第3期。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74、第一作者：《罗马帝国“一国多制”与中国“一国两制”的比较和借鉴》，载《中国评论》2021年第7期。</w:t>
            </w:r>
          </w:p>
          <w:p>
            <w:pPr>
              <w:jc w:val="left"/>
              <w:rPr>
                <w:rFonts w:eastAsia="楷体_GB2312"/>
                <w:b/>
                <w:color w:val="000000"/>
                <w:sz w:val="24"/>
              </w:rPr>
            </w:pPr>
            <w:r>
              <w:rPr>
                <w:rFonts w:hint="eastAsia" w:eastAsia="楷体_GB2312"/>
                <w:b/>
                <w:color w:val="000000"/>
                <w:sz w:val="24"/>
              </w:rPr>
              <w:t>75、独著：《特殊政府承认与继承的界定与原则》，载《深圳大学学报（人文社会科学版）》2021年第5期，《人大复印资料》（国际法学）2021年第12期全文转载。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76、第一作者：《我国&lt;反外国制裁法&gt;的适用规则及其法律调适和完善》，载《云南师范大学学报》（哲学社会科学版）2022年第2期，被引2次。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77、第一作者：《&lt;南海行为准则&gt;的法律定位及其与&lt;联合国海洋法公约&gt;的关系》，载《南洋问题研究》2022年第4期。</w:t>
            </w:r>
          </w:p>
          <w:p>
            <w:pPr>
              <w:jc w:val="left"/>
              <w:rPr>
                <w:rFonts w:eastAsia="楷体_GB2312"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78、第一作者：</w:t>
            </w:r>
            <w:r>
              <w:rPr>
                <w:rFonts w:eastAsia="楷体_GB2312"/>
                <w:color w:val="000000"/>
                <w:sz w:val="24"/>
              </w:rPr>
              <w:t>Conflicts and Challenges of Sustainable Fisheries Governance Cooperation under the Securitization of the Maritime Commons</w:t>
            </w:r>
            <w:r>
              <w:rPr>
                <w:rFonts w:hint="eastAsia" w:eastAsia="楷体_GB2312"/>
                <w:color w:val="000000"/>
                <w:sz w:val="24"/>
              </w:rPr>
              <w:t>, Fishes, Vol.8, Issue 1, 2023.</w:t>
            </w:r>
          </w:p>
          <w:p>
            <w:pPr>
              <w:jc w:val="left"/>
              <w:rPr>
                <w:rFonts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eastAsia="楷体_GB2312"/>
                <w:color w:val="000000"/>
                <w:sz w:val="24"/>
              </w:rPr>
              <w:t>79、独著：《正义的法哲学之维》，载《学术界》2023年第1期。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1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、2011年武汉大学科研奖一等奖。（武汉大学）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2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、2013年武汉大学珞珈青年学者、2015年武汉大学珞珈特聘教授。（武汉大学）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3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、2014年国家“万人计划”青年拔尖人才。（中组部）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4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、2014年钱端生法学研究成果奖提名奖。（钱端升基金会）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5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、2016中国社科院优秀对策信息奖三等奖。（中国社科院）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6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、2016年武汉大学杰出教学贡献校长奖。（武汉大学）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7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、2017年“方德法治研究奖”二等奖。（方德法治研究院）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8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、2017年“姚梅镇优秀教师奖”。（姚梅镇基金会）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9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、2017年中国海洋法学会优秀论文奖二等奖。（中国海洋法学会）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0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、2018年国家级教学成果奖二等奖。（教育部）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、2019年中国海洋法学会优秀论文奖一等奖。（中国海洋法学会）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、2020年第六届“湖北省优秀中青年法学工作者”。（湖北省）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3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、2020年第八届高等学校科学研究优秀成果奖（人文社会科学）二等奖。（教育部）</w:t>
            </w: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36D25"/>
    <w:rsid w:val="000E74DE"/>
    <w:rsid w:val="00266296"/>
    <w:rsid w:val="00281AC4"/>
    <w:rsid w:val="002F1195"/>
    <w:rsid w:val="00371529"/>
    <w:rsid w:val="00437BB0"/>
    <w:rsid w:val="004415F4"/>
    <w:rsid w:val="00474615"/>
    <w:rsid w:val="0047587D"/>
    <w:rsid w:val="00492F37"/>
    <w:rsid w:val="004B525A"/>
    <w:rsid w:val="00506483"/>
    <w:rsid w:val="0052358C"/>
    <w:rsid w:val="00537503"/>
    <w:rsid w:val="00574A8E"/>
    <w:rsid w:val="00580AD1"/>
    <w:rsid w:val="00653E4D"/>
    <w:rsid w:val="00672B66"/>
    <w:rsid w:val="0067766B"/>
    <w:rsid w:val="006D6EB8"/>
    <w:rsid w:val="006E1919"/>
    <w:rsid w:val="00721627"/>
    <w:rsid w:val="007516C1"/>
    <w:rsid w:val="00755F9A"/>
    <w:rsid w:val="007972C8"/>
    <w:rsid w:val="007C2B69"/>
    <w:rsid w:val="007F487A"/>
    <w:rsid w:val="00834900"/>
    <w:rsid w:val="00836355"/>
    <w:rsid w:val="00872EA8"/>
    <w:rsid w:val="008B26BF"/>
    <w:rsid w:val="008B56DE"/>
    <w:rsid w:val="008D5180"/>
    <w:rsid w:val="0092344B"/>
    <w:rsid w:val="009D16C5"/>
    <w:rsid w:val="00A23E58"/>
    <w:rsid w:val="00AB7E52"/>
    <w:rsid w:val="00AD2ED3"/>
    <w:rsid w:val="00B009F5"/>
    <w:rsid w:val="00B0533A"/>
    <w:rsid w:val="00B475D1"/>
    <w:rsid w:val="00BB5C16"/>
    <w:rsid w:val="00BD2548"/>
    <w:rsid w:val="00BE5A48"/>
    <w:rsid w:val="00CA11CA"/>
    <w:rsid w:val="00D310E5"/>
    <w:rsid w:val="00DF48EB"/>
    <w:rsid w:val="00E31013"/>
    <w:rsid w:val="00EF732B"/>
    <w:rsid w:val="00F83DA2"/>
    <w:rsid w:val="00FB06D9"/>
    <w:rsid w:val="00FE15BC"/>
    <w:rsid w:val="00FF02CA"/>
    <w:rsid w:val="1EBD9178"/>
    <w:rsid w:val="2CEFB339"/>
    <w:rsid w:val="2EFBBC48"/>
    <w:rsid w:val="2FFF7908"/>
    <w:rsid w:val="3B9D0C2F"/>
    <w:rsid w:val="3BBF1B45"/>
    <w:rsid w:val="3DFF8C80"/>
    <w:rsid w:val="3FAC72FC"/>
    <w:rsid w:val="3FDF6C0E"/>
    <w:rsid w:val="3FE95ABC"/>
    <w:rsid w:val="42701F6B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FF2EC6"/>
    <w:rsid w:val="7A8FFAC6"/>
    <w:rsid w:val="7AFB59A5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9F71E2F6"/>
    <w:rsid w:val="A7EB79A2"/>
    <w:rsid w:val="ABC2528A"/>
    <w:rsid w:val="ABFD3B40"/>
    <w:rsid w:val="AE8F304D"/>
    <w:rsid w:val="AFFF087D"/>
    <w:rsid w:val="B7D56515"/>
    <w:rsid w:val="B9EF54B5"/>
    <w:rsid w:val="BC4DFFA0"/>
    <w:rsid w:val="BE3FDE16"/>
    <w:rsid w:val="BEFF65E4"/>
    <w:rsid w:val="D7371D03"/>
    <w:rsid w:val="D7FE4373"/>
    <w:rsid w:val="DE7F24A6"/>
    <w:rsid w:val="ECEF399F"/>
    <w:rsid w:val="ED661AE8"/>
    <w:rsid w:val="EDFF9236"/>
    <w:rsid w:val="EEFDCF1B"/>
    <w:rsid w:val="EF27885A"/>
    <w:rsid w:val="EF358C7A"/>
    <w:rsid w:val="EFBFEC5E"/>
    <w:rsid w:val="F2715785"/>
    <w:rsid w:val="F3D759E3"/>
    <w:rsid w:val="F7AF7DD2"/>
    <w:rsid w:val="FAFBA160"/>
    <w:rsid w:val="FBDBA10B"/>
    <w:rsid w:val="FBF77622"/>
    <w:rsid w:val="FBF7EC9E"/>
    <w:rsid w:val="FCD99171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7626</Words>
  <Characters>8593</Characters>
  <Lines>86</Lines>
  <Paragraphs>24</Paragraphs>
  <TotalTime>515</TotalTime>
  <ScaleCrop>false</ScaleCrop>
  <LinksUpToDate>false</LinksUpToDate>
  <CharactersWithSpaces>8791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2022-12-29T03:44:00Z</dcterms:created>
  <dc:creator>fxhuser</dc:creator>
  <cp:lastModifiedBy>执牛耳</cp:lastModifiedBy>
  <cp:lastPrinted>2022-12-29T00:41:00Z</cp:lastPrinted>
  <dcterms:modified xsi:type="dcterms:W3CDTF">2023-04-27T08:07:22Z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57A3ADDD1270002906D8446448A92050_42</vt:lpwstr>
  </property>
</Properties>
</file>