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刘晓林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吉林大学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中国法学会法学教育研究会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none"/>
        </w:rPr>
        <w:t xml:space="preserve">    </w:t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eastAsia" w:eastAsia="仿宋_GB2312"/>
          <w:b/>
          <w:bCs/>
          <w:sz w:val="32"/>
          <w:szCs w:val="32"/>
          <w:u w:val="single"/>
        </w:rPr>
        <w:t>中国法学会法治文化研究会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none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non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中国法律史学会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 </w:t>
      </w: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</w:rPr>
      </w:pP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 xml:space="preserve">   </w:t>
      </w: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ab/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吉林大学法学院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    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tbl>
      <w:tblPr>
        <w:tblStyle w:val="8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刘晓林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162050" cy="1666875"/>
                  <wp:effectExtent l="0" t="0" r="0" b="9525"/>
                  <wp:docPr id="1" name="图片 1" descr="7b9935fcd16947df898b47e1b1a04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b9935fcd16947df898b47e1b1a04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981.12.21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吉林大学法学院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吉林省长春市前进大街2699号吉林大学前卫南区东荣大厦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候选人具有稳定的研究领域，主要关注唐律立法语言、立法技术、法典结构以及秦汉至唐代律令体系发展与演变。立足于传世法典与出土法制文献，在史料辨析的同时，特别注重现代法学理论所具有的方法论意义，力图从中国古代法典与律令体系中凝练共识性“法理”概念。这也是延续吉大法学“深耕法理”的学术传统。候选人作为首席专家主持</w:t>
            </w: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国家社科基金重大项目“秦汉至唐律令立法语言分类整理、谱系建构与数据库建设”(批准号：21&amp;ZD197)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，并在此领域内集中产出一系列学术成果。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一、学术专著（独著）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1.《唐律“七杀”研究》，商务印书馆2012年版。1</w:t>
            </w:r>
            <w:r>
              <w:rPr>
                <w:rFonts w:ascii="楷体" w:hAnsi="楷体" w:eastAsia="楷体"/>
                <w:color w:val="000000"/>
                <w:sz w:val="24"/>
              </w:rPr>
              <w:t>5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万字，《检察日报》2014年9月25第3版“精品推介”栏目页专门介绍。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2.《唐律立法语言、立法技术及法典体例研究》，商务印书馆2020年版。</w:t>
            </w:r>
            <w:r>
              <w:rPr>
                <w:rFonts w:ascii="楷体" w:hAnsi="楷体" w:eastAsia="楷体"/>
                <w:color w:val="000000"/>
                <w:sz w:val="24"/>
              </w:rPr>
              <w:t>18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万字，《民主与法制时报》2020年9月3日第7版“法治文化”专栏刊发了记者陈和秋的报道《以现代法学解读唐律语言》。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3.《秦汉律与唐律杀人罪立法比较研究》，商务印书馆2021年版。2</w:t>
            </w:r>
            <w:r>
              <w:rPr>
                <w:rFonts w:ascii="楷体" w:hAnsi="楷体" w:eastAsia="楷体"/>
                <w:color w:val="000000"/>
                <w:sz w:val="24"/>
              </w:rPr>
              <w:t>5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楷体" w:hAns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24"/>
              </w:rPr>
              <w:t>二、重要学术论文</w:t>
            </w:r>
          </w:p>
          <w:p>
            <w:pPr>
              <w:pStyle w:val="3"/>
              <w:spacing w:before="0" w:after="0" w:line="360" w:lineRule="auto"/>
              <w:ind w:firstLine="482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（一）法学核心期刊（CLSCI）发表论文：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1.《唐律中的“余条准此”考辨》（独撰），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《法学研究》</w:t>
            </w:r>
            <w:r>
              <w:rPr>
                <w:rFonts w:hint="eastAsia" w:ascii="楷体" w:hAnsi="楷体" w:eastAsia="楷体"/>
                <w:sz w:val="24"/>
              </w:rPr>
              <w:t>（CSSCI）2017年第3期。（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《人民大学复印报刊资料·法理学、法史学》2017年第11期全文转载</w:t>
            </w:r>
            <w:r>
              <w:rPr>
                <w:rFonts w:hint="eastAsia" w:ascii="楷体" w:hAnsi="楷体" w:eastAsia="楷体"/>
                <w:sz w:val="24"/>
              </w:rPr>
              <w:t>）。被引1</w:t>
            </w: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次。1</w:t>
            </w:r>
            <w:r>
              <w:rPr>
                <w:rFonts w:ascii="楷体" w:hAnsi="楷体" w:eastAsia="楷体"/>
                <w:sz w:val="24"/>
              </w:rPr>
              <w:t>.7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2.《唐律误杀考》（独撰），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《法学研究》</w:t>
            </w:r>
            <w:r>
              <w:rPr>
                <w:rFonts w:hint="eastAsia" w:ascii="楷体" w:hAnsi="楷体" w:eastAsia="楷体"/>
                <w:sz w:val="24"/>
              </w:rPr>
              <w:t>（CSSCI）2012年第5期。被引1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次。1</w:t>
            </w:r>
            <w:r>
              <w:rPr>
                <w:rFonts w:ascii="楷体" w:hAnsi="楷体" w:eastAsia="楷体"/>
                <w:sz w:val="24"/>
              </w:rPr>
              <w:t>.2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3.《唐律中的“罪名”：立法的语言、核心与宗旨》（独撰），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《法学家》</w:t>
            </w:r>
            <w:r>
              <w:rPr>
                <w:rFonts w:hint="eastAsia" w:ascii="楷体" w:hAnsi="楷体" w:eastAsia="楷体"/>
                <w:sz w:val="24"/>
              </w:rPr>
              <w:t>（CSSCI）2017年第5期。（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《人民大学复印报刊资料·法理学、法史学》2018年第3期全文转载</w:t>
            </w:r>
            <w:r>
              <w:rPr>
                <w:rFonts w:hint="eastAsia" w:ascii="楷体" w:hAnsi="楷体" w:eastAsia="楷体"/>
                <w:sz w:val="24"/>
              </w:rPr>
              <w:t>）。被引1</w:t>
            </w: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次。1</w:t>
            </w:r>
            <w:r>
              <w:rPr>
                <w:rFonts w:ascii="楷体" w:hAnsi="楷体" w:eastAsia="楷体"/>
                <w:sz w:val="24"/>
              </w:rPr>
              <w:t>.6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.《&lt;唐律疏议&gt;中的“理”考辨》（独撰），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《法律科学》</w:t>
            </w:r>
            <w:r>
              <w:rPr>
                <w:rFonts w:hint="eastAsia" w:ascii="楷体" w:hAnsi="楷体" w:eastAsia="楷体"/>
                <w:sz w:val="24"/>
              </w:rPr>
              <w:t>（CSSCI）2015年第4期。（</w:t>
            </w:r>
            <w:r>
              <w:rPr>
                <w:rFonts w:hint="eastAsia" w:ascii="楷体" w:hAnsi="楷体" w:eastAsia="楷体"/>
                <w:b/>
                <w:sz w:val="24"/>
              </w:rPr>
              <w:t>《中国社会科学文摘》2015年第12期转载</w:t>
            </w:r>
            <w:r>
              <w:rPr>
                <w:rFonts w:hint="eastAsia" w:ascii="楷体" w:hAnsi="楷体" w:eastAsia="楷体"/>
                <w:sz w:val="24"/>
              </w:rPr>
              <w:t>；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《人民大学复印报刊资料·法理学、法史学》2015年第12期全文转载</w:t>
            </w:r>
            <w:r>
              <w:rPr>
                <w:rFonts w:hint="eastAsia" w:ascii="楷体" w:hAnsi="楷体" w:eastAsia="楷体"/>
                <w:sz w:val="24"/>
              </w:rPr>
              <w:t>）。被引1</w:t>
            </w: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次。2万字。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4.《中华法系新诠》（独撰），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《法制与社会发展》</w:t>
            </w:r>
            <w:r>
              <w:rPr>
                <w:rFonts w:hint="eastAsia" w:ascii="楷体" w:hAnsi="楷体" w:eastAsia="楷体"/>
                <w:sz w:val="24"/>
              </w:rPr>
              <w:t>（CSSCI）2022年第5期。2万字。（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《中国社会科学文摘》20</w:t>
            </w:r>
            <w:r>
              <w:rPr>
                <w:rFonts w:ascii="楷体" w:hAnsi="楷体" w:eastAsia="楷体"/>
                <w:b/>
                <w:bCs/>
                <w:sz w:val="24"/>
              </w:rPr>
              <w:t>23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年第1期转载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</w:t>
            </w:r>
            <w:r>
              <w:rPr>
                <w:rFonts w:ascii="楷体" w:hAnsi="楷体" w:eastAsia="楷体"/>
                <w:sz w:val="24"/>
              </w:rPr>
              <w:t>.</w:t>
            </w:r>
            <w:r>
              <w:rPr>
                <w:rFonts w:hint="eastAsia" w:ascii="楷体" w:hAnsi="楷体" w:eastAsia="楷体"/>
                <w:sz w:val="24"/>
              </w:rPr>
              <w:t>《新时代法学实践教学的性质及其实现方式》（二作），</w:t>
            </w:r>
            <w:r>
              <w:rPr>
                <w:rFonts w:hint="eastAsia" w:ascii="楷体" w:hAnsi="楷体" w:eastAsia="楷体"/>
                <w:b/>
                <w:sz w:val="24"/>
              </w:rPr>
              <w:t>《法制与社会发展》</w:t>
            </w:r>
            <w:r>
              <w:rPr>
                <w:rFonts w:hint="eastAsia" w:ascii="楷体" w:hAnsi="楷体" w:eastAsia="楷体"/>
                <w:sz w:val="24"/>
              </w:rPr>
              <w:t>（CSSCI）2018年第5期。1</w:t>
            </w:r>
            <w:r>
              <w:rPr>
                <w:rFonts w:ascii="楷体" w:hAnsi="楷体" w:eastAsia="楷体"/>
                <w:sz w:val="24"/>
              </w:rPr>
              <w:t>.3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6.</w:t>
            </w:r>
            <w:r>
              <w:rPr>
                <w:rFonts w:hint="eastAsia" w:ascii="楷体" w:hAnsi="楷体" w:eastAsia="楷体"/>
                <w:sz w:val="24"/>
              </w:rPr>
              <w:t>《唐律立法体例的实证分析——以“不用此律”的表述为中心》（独撰），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《政法论坛》</w:t>
            </w:r>
            <w:r>
              <w:rPr>
                <w:rFonts w:hint="eastAsia" w:ascii="楷体" w:hAnsi="楷体" w:eastAsia="楷体"/>
                <w:sz w:val="24"/>
              </w:rPr>
              <w:t>（CSSCI）2016年第5期。（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《人民大学复印报刊资料·法理学、法史学》2017年第1期全文转载</w:t>
            </w:r>
            <w:r>
              <w:rPr>
                <w:rFonts w:hint="eastAsia" w:ascii="楷体" w:hAnsi="楷体" w:eastAsia="楷体"/>
                <w:sz w:val="24"/>
              </w:rPr>
              <w:t>）。1</w:t>
            </w:r>
            <w:r>
              <w:rPr>
                <w:rFonts w:ascii="楷体" w:hAnsi="楷体" w:eastAsia="楷体"/>
                <w:sz w:val="24"/>
              </w:rPr>
              <w:t>.4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7</w:t>
            </w:r>
            <w:r>
              <w:rPr>
                <w:rFonts w:hint="eastAsia" w:ascii="楷体" w:hAnsi="楷体" w:eastAsia="楷体"/>
                <w:sz w:val="24"/>
              </w:rPr>
              <w:t>.《唐律中的“杀”与“死”》（独撰），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《政法论坛》</w:t>
            </w:r>
            <w:r>
              <w:rPr>
                <w:rFonts w:hint="eastAsia" w:ascii="楷体" w:hAnsi="楷体" w:eastAsia="楷体"/>
                <w:sz w:val="24"/>
              </w:rPr>
              <w:t>（CSSCI）2020年第3期。1</w:t>
            </w:r>
            <w:r>
              <w:rPr>
                <w:rFonts w:ascii="楷体" w:hAnsi="楷体" w:eastAsia="楷体"/>
                <w:sz w:val="24"/>
              </w:rPr>
              <w:t>.4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9</w:t>
            </w:r>
            <w:r>
              <w:rPr>
                <w:rFonts w:hint="eastAsia" w:ascii="楷体" w:hAnsi="楷体" w:eastAsia="楷体"/>
                <w:sz w:val="24"/>
              </w:rPr>
              <w:t>.《唐律中的“罪止”：通过立法技术表现的慎刑与官吏控制》（独撰），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《法律科学》</w:t>
            </w:r>
            <w:r>
              <w:rPr>
                <w:rFonts w:hint="eastAsia" w:ascii="楷体" w:hAnsi="楷体" w:eastAsia="楷体"/>
                <w:sz w:val="24"/>
              </w:rPr>
              <w:t>（CSSCI）2020年第4期。1</w:t>
            </w:r>
            <w:r>
              <w:rPr>
                <w:rFonts w:ascii="楷体" w:hAnsi="楷体" w:eastAsia="楷体"/>
                <w:sz w:val="24"/>
              </w:rPr>
              <w:t>.9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</w:t>
            </w:r>
            <w:r>
              <w:rPr>
                <w:rFonts w:hint="eastAsia" w:ascii="楷体" w:hAnsi="楷体" w:eastAsia="楷体"/>
                <w:sz w:val="24"/>
              </w:rPr>
              <w:t>.《立法语言抑或学理解释：注释律学中的“六杀”与“七杀”》（独撰），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《清华法学》</w:t>
            </w:r>
            <w:r>
              <w:rPr>
                <w:rFonts w:hint="eastAsia" w:ascii="楷体" w:hAnsi="楷体" w:eastAsia="楷体"/>
                <w:sz w:val="24"/>
              </w:rPr>
              <w:t>（CSSCI）2018年第6期。1</w:t>
            </w:r>
            <w:r>
              <w:rPr>
                <w:rFonts w:ascii="楷体" w:hAnsi="楷体" w:eastAsia="楷体"/>
                <w:sz w:val="24"/>
              </w:rPr>
              <w:t>.8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.《唐律中的“人口买卖”：立法的表述、量刑及其逻辑》（独撰），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《当代法学》</w:t>
            </w:r>
            <w:r>
              <w:rPr>
                <w:rFonts w:hint="eastAsia" w:ascii="楷体" w:hAnsi="楷体" w:eastAsia="楷体"/>
                <w:sz w:val="24"/>
              </w:rPr>
              <w:t>（CSSCI）2022年第3期。1</w:t>
            </w:r>
            <w:r>
              <w:rPr>
                <w:rFonts w:ascii="楷体" w:hAnsi="楷体" w:eastAsia="楷体"/>
                <w:sz w:val="24"/>
              </w:rPr>
              <w:t>.3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.《唐律“斗杀”考》，</w:t>
            </w:r>
            <w:r>
              <w:rPr>
                <w:rFonts w:hint="eastAsia" w:ascii="楷体" w:hAnsi="楷体" w:eastAsia="楷体"/>
                <w:b/>
                <w:sz w:val="24"/>
              </w:rPr>
              <w:t>《当代法学》</w:t>
            </w:r>
            <w:r>
              <w:rPr>
                <w:rFonts w:hint="eastAsia" w:ascii="楷体" w:hAnsi="楷体" w:eastAsia="楷体"/>
                <w:sz w:val="24"/>
              </w:rPr>
              <w:t>2012年第2期（独撰）。（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《人民大学复印报刊资料·法理学、法史学》2012年第8期全文转载</w:t>
            </w:r>
            <w:r>
              <w:rPr>
                <w:rFonts w:hint="eastAsia" w:ascii="楷体" w:hAnsi="楷体" w:eastAsia="楷体"/>
                <w:sz w:val="24"/>
              </w:rPr>
              <w:t>）。1</w:t>
            </w:r>
            <w:r>
              <w:rPr>
                <w:rFonts w:ascii="楷体" w:hAnsi="楷体" w:eastAsia="楷体"/>
                <w:sz w:val="24"/>
              </w:rPr>
              <w:t>.1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.《唐律“劫杀”考》（独撰），</w:t>
            </w:r>
            <w:r>
              <w:rPr>
                <w:rFonts w:hint="eastAsia" w:ascii="楷体" w:hAnsi="楷体" w:eastAsia="楷体"/>
                <w:b/>
                <w:sz w:val="24"/>
              </w:rPr>
              <w:t>《华东政法大学学报》</w:t>
            </w:r>
            <w:r>
              <w:rPr>
                <w:rFonts w:hint="eastAsia" w:ascii="楷体" w:hAnsi="楷体" w:eastAsia="楷体"/>
                <w:sz w:val="24"/>
              </w:rPr>
              <w:t>（CSSCI）2011年第4期。1</w:t>
            </w:r>
            <w:r>
              <w:rPr>
                <w:rFonts w:ascii="楷体" w:hAnsi="楷体" w:eastAsia="楷体"/>
                <w:sz w:val="24"/>
              </w:rPr>
              <w:t>.9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pStyle w:val="3"/>
              <w:spacing w:before="0" w:after="0" w:line="360" w:lineRule="auto"/>
              <w:ind w:firstLine="482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（二）综合类刊物、学报、集刊等发表论文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.《传统刑律中的死刑限制及其技术策略：以&lt;唐律疏议&gt;中的“至死”为中心的考察》（独撰），《四川大学学报（哲学社会科学版）》（CSSCI）2019年第6期。1</w:t>
            </w:r>
            <w:r>
              <w:rPr>
                <w:rFonts w:ascii="楷体" w:hAnsi="楷体" w:eastAsia="楷体"/>
                <w:sz w:val="24"/>
              </w:rPr>
              <w:t>.7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.《中国近代“法理”话语的传入与演化——以吉林大学藏程树德编&lt;法律原理学&gt;为中心的考察》（一作），《吉林大学社会科学学报》（CSSCI）2023年第1期。1</w:t>
            </w:r>
            <w:r>
              <w:rPr>
                <w:rFonts w:ascii="楷体" w:hAnsi="楷体" w:eastAsia="楷体"/>
                <w:sz w:val="24"/>
              </w:rPr>
              <w:t>.5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3.《&lt;唐律疏议&gt;中的“情”考辨》（独撰），《上海师范大学学报（哲学社会科学版）》（CSSCI）2017年第1期。1</w:t>
            </w:r>
            <w:r>
              <w:rPr>
                <w:rFonts w:ascii="楷体" w:hAnsi="楷体" w:eastAsia="楷体"/>
                <w:sz w:val="24"/>
              </w:rPr>
              <w:t>.7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4.《契约本性与古代中国的契约自由、平等——中国古代契约语言与社会史的考察》（二作），《甘肃社会科学》（CSSCI）2010年第2、3期连载。（</w:t>
            </w:r>
            <w:r>
              <w:rPr>
                <w:rFonts w:hint="eastAsia" w:ascii="楷体" w:hAnsi="楷体" w:eastAsia="楷体"/>
                <w:b/>
                <w:sz w:val="24"/>
              </w:rPr>
              <w:t>《新华文摘》2010年第16期“论点摘编”摘录</w:t>
            </w:r>
            <w:r>
              <w:rPr>
                <w:rFonts w:hint="eastAsia" w:ascii="楷体" w:hAnsi="楷体" w:eastAsia="楷体"/>
                <w:sz w:val="24"/>
              </w:rPr>
              <w:t>）。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5.《秦汉律与唐律“谋杀”比较研究》（独撰），《甘肃社会科学》（CSSCI）2013年第2期。（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《人民大学复印报刊资料·法理学、法史学》2013年第7期全文转载</w:t>
            </w:r>
            <w:r>
              <w:rPr>
                <w:rFonts w:hint="eastAsia" w:ascii="楷体" w:hAnsi="楷体" w:eastAsia="楷体"/>
                <w:sz w:val="24"/>
              </w:rPr>
              <w:t>）。1万字。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6.《唐代监察官员的职务犯罪行为及其处罚》（独撰），《甘肃社会科学》（CSSCI）2018年第5期。（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《人民大学复印报刊资料·法理学、法史学》2019年第1期全文转载</w:t>
            </w:r>
            <w:r>
              <w:rPr>
                <w:rFonts w:hint="eastAsia" w:ascii="楷体" w:hAnsi="楷体" w:eastAsia="楷体"/>
                <w:sz w:val="24"/>
              </w:rPr>
              <w:t>）。1</w:t>
            </w:r>
            <w:r>
              <w:rPr>
                <w:rFonts w:ascii="楷体" w:hAnsi="楷体" w:eastAsia="楷体"/>
                <w:sz w:val="24"/>
              </w:rPr>
              <w:t>.3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7.《〈唐律疏议·户婚〉无死刑辨正》（独撰），《甘肃社会科学》（CSSCI）2007年第6期。1万字。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8.《从“贼杀”到“故杀”》（独撰），《苏州大学学报（法学版）》2015年第1期。（</w:t>
            </w:r>
            <w:r>
              <w:rPr>
                <w:rFonts w:hint="eastAsia" w:ascii="楷体" w:hAnsi="楷体" w:eastAsia="楷体"/>
                <w:b/>
                <w:sz w:val="24"/>
              </w:rPr>
              <w:t>《人民大学复印报刊资料·法理学、法史学》2015年第7期全文转载</w:t>
            </w:r>
            <w:r>
              <w:rPr>
                <w:rFonts w:hint="eastAsia" w:ascii="楷体" w:hAnsi="楷体" w:eastAsia="楷体"/>
                <w:sz w:val="24"/>
              </w:rPr>
              <w:t>）。1</w:t>
            </w:r>
            <w:r>
              <w:rPr>
                <w:rFonts w:ascii="楷体" w:hAnsi="楷体" w:eastAsia="楷体"/>
                <w:sz w:val="24"/>
              </w:rPr>
              <w:t>.2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9</w:t>
            </w:r>
            <w:r>
              <w:rPr>
                <w:rFonts w:hint="eastAsia" w:ascii="楷体" w:hAnsi="楷体" w:eastAsia="楷体"/>
                <w:sz w:val="24"/>
              </w:rPr>
              <w:t>.《唐律“过失杀”研究》（独撰），《科学经济社会》（CSSCI扩展）2011年第3期。1</w:t>
            </w:r>
            <w:r>
              <w:rPr>
                <w:rFonts w:ascii="楷体" w:hAnsi="楷体" w:eastAsia="楷体"/>
                <w:sz w:val="24"/>
              </w:rPr>
              <w:t>.4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0</w:t>
            </w:r>
            <w:r>
              <w:rPr>
                <w:rFonts w:hint="eastAsia" w:ascii="楷体" w:hAnsi="楷体" w:eastAsia="楷体"/>
                <w:sz w:val="24"/>
              </w:rPr>
              <w:t>.《秦汉律中相关的“谒杀”“擅杀”初考》（独撰），《甘肃政法学院学报》（CSSCI扩展）2013年第5期。1万字。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11</w:t>
            </w:r>
            <w:r>
              <w:rPr>
                <w:rFonts w:hint="eastAsia" w:ascii="楷体" w:hAnsi="楷体" w:eastAsia="楷体"/>
                <w:sz w:val="24"/>
              </w:rPr>
              <w:t>.《唐律“谋杀”考》（独撰），《西部法学评论》2010年第1期。2万字。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12.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《彼此独立抑或主附相依:唐律中的“枉法”与“不枉法”》（一作），《上海政法学院学报(法治论丛)》2</w:t>
            </w:r>
            <w:r>
              <w:rPr>
                <w:rFonts w:ascii="楷体" w:hAnsi="楷体" w:eastAsia="楷体"/>
                <w:color w:val="000000"/>
                <w:sz w:val="24"/>
              </w:rPr>
              <w:t>018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年第5期。</w:t>
            </w: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.4</w:t>
            </w:r>
            <w:r>
              <w:rPr>
                <w:rFonts w:hint="eastAsia" w:ascii="楷体" w:hAnsi="楷体" w:eastAsia="楷体"/>
                <w:sz w:val="24"/>
              </w:rPr>
              <w:t>万字。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3.</w:t>
            </w:r>
            <w:r>
              <w:rPr>
                <w:rFonts w:hint="eastAsia" w:ascii="楷体" w:hAnsi="楷体" w:eastAsia="楷体"/>
                <w:sz w:val="24"/>
              </w:rPr>
              <w:t>《“援法断罪、罚当其罪”的思想渊源与制度表达》（一作），《人民检察》2</w:t>
            </w:r>
            <w:r>
              <w:rPr>
                <w:rFonts w:ascii="楷体" w:hAnsi="楷体" w:eastAsia="楷体"/>
                <w:sz w:val="24"/>
              </w:rPr>
              <w:t>023</w:t>
            </w:r>
            <w:r>
              <w:rPr>
                <w:rFonts w:hint="eastAsia" w:ascii="楷体" w:hAnsi="楷体" w:eastAsia="楷体"/>
                <w:sz w:val="24"/>
              </w:rPr>
              <w:t>年第2期。1万字。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3"/>
              <w:spacing w:before="0" w:after="0"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一、人才计划类</w:t>
            </w:r>
          </w:p>
          <w:p>
            <w:pPr>
              <w:spacing w:line="360" w:lineRule="auto"/>
              <w:ind w:firstLine="482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1.国家“万人计划”青年拔尖人才</w:t>
            </w:r>
            <w:r>
              <w:rPr>
                <w:rFonts w:hint="eastAsia" w:ascii="楷体" w:hAnsi="楷体" w:eastAsia="楷体"/>
                <w:sz w:val="24"/>
              </w:rPr>
              <w:t>（2021年12月）。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2.吉林省“长白山人才工程”青年拔尖人才（2021年12月）。</w:t>
            </w:r>
          </w:p>
          <w:p>
            <w:pPr>
              <w:pStyle w:val="2"/>
              <w:spacing w:before="0" w:after="0"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二、科研获奖和表彰类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b/>
                <w:sz w:val="24"/>
              </w:rPr>
              <w:t>霍英东教育基金会第十六届高等院校青年教师基金奖励资助</w:t>
            </w:r>
            <w:r>
              <w:rPr>
                <w:rFonts w:hint="eastAsia" w:ascii="楷体" w:hAnsi="楷体" w:eastAsia="楷体"/>
                <w:sz w:val="24"/>
              </w:rPr>
              <w:t>（2018年3月），资助经费</w:t>
            </w:r>
            <w:r>
              <w:rPr>
                <w:rFonts w:ascii="楷体" w:hAnsi="楷体" w:eastAsia="楷体"/>
                <w:sz w:val="24"/>
              </w:rPr>
              <w:t>8</w:t>
            </w:r>
            <w:r>
              <w:rPr>
                <w:rFonts w:hint="eastAsia" w:ascii="楷体" w:hAnsi="楷体" w:eastAsia="楷体"/>
                <w:sz w:val="24"/>
              </w:rPr>
              <w:t>万。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</w:rPr>
              <w:t>甘肃省第十四届社会科学优秀成果奖一等奖</w:t>
            </w:r>
            <w:r>
              <w:rPr>
                <w:rFonts w:hint="eastAsia" w:ascii="楷体" w:hAnsi="楷体" w:eastAsia="楷体"/>
                <w:sz w:val="24"/>
              </w:rPr>
              <w:t>（2016年10月）。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</w:rPr>
              <w:t>甘肃省第十三届社会科学优秀成果奖二等奖</w:t>
            </w:r>
            <w:r>
              <w:rPr>
                <w:rFonts w:hint="eastAsia" w:ascii="楷体" w:hAnsi="楷体" w:eastAsia="楷体"/>
                <w:sz w:val="24"/>
              </w:rPr>
              <w:t>（2013年3月）。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</w:rPr>
              <w:t>吉林省第十二届社会科学优秀成果奖二等奖</w:t>
            </w:r>
            <w:r>
              <w:rPr>
                <w:rFonts w:hint="eastAsia" w:ascii="楷体" w:hAnsi="楷体" w:eastAsia="楷体"/>
                <w:sz w:val="24"/>
              </w:rPr>
              <w:t>（2018年8月）。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.</w:t>
            </w:r>
            <w:r>
              <w:rPr>
                <w:rFonts w:hint="eastAsia" w:ascii="楷体" w:hAnsi="楷体" w:eastAsia="楷体"/>
                <w:b/>
                <w:sz w:val="24"/>
              </w:rPr>
              <w:t>第六届中国法律文化研究成果奖一等奖</w:t>
            </w:r>
            <w:r>
              <w:rPr>
                <w:rFonts w:hint="eastAsia" w:ascii="楷体" w:hAnsi="楷体" w:eastAsia="楷体"/>
                <w:sz w:val="24"/>
              </w:rPr>
              <w:t>（2019年11月）。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6</w:t>
            </w:r>
            <w:r>
              <w:rPr>
                <w:rFonts w:hint="eastAsia" w:ascii="楷体" w:hAnsi="楷体" w:eastAsia="楷体"/>
                <w:sz w:val="24"/>
              </w:rPr>
              <w:t>.中国法律史学会第二届优秀成果奖二等奖（2019年11月）。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7</w:t>
            </w:r>
            <w:r>
              <w:rPr>
                <w:rFonts w:hint="eastAsia" w:ascii="楷体" w:hAnsi="楷体" w:eastAsia="楷体"/>
                <w:sz w:val="24"/>
              </w:rPr>
              <w:t>.第十届长春市社会科学优秀成果奖一等奖（2022年12月）。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8</w:t>
            </w:r>
            <w:r>
              <w:rPr>
                <w:rFonts w:hint="eastAsia" w:ascii="楷体" w:hAnsi="楷体" w:eastAsia="楷体"/>
                <w:sz w:val="24"/>
              </w:rPr>
              <w:t>.第二届吉林省法学优秀成果奖一等奖（2018年3月）。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9</w:t>
            </w:r>
            <w:r>
              <w:rPr>
                <w:rFonts w:hint="eastAsia" w:ascii="楷体" w:hAnsi="楷体" w:eastAsia="楷体"/>
                <w:sz w:val="24"/>
              </w:rPr>
              <w:t>.第七届中国法学教育研究成果奖二等奖（排名第二）（2021年10月）。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10</w:t>
            </w:r>
            <w:r>
              <w:rPr>
                <w:rFonts w:hint="eastAsia" w:ascii="楷体" w:hAnsi="楷体" w:eastAsia="楷体"/>
                <w:sz w:val="24"/>
              </w:rPr>
              <w:t>.第七届中国法律文化研究成果奖三等奖（2021年10月）。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.第四届中国法律文化研究成果奖三等奖（2015年9月）。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.第三届中国法律文化研究成果奖三等奖（2013年9月）。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.第六届董必武青年法学成果奖提名奖（2018年6月）。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.第三届方德法治研究奖三等奖（2021年9月）。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.第二届方德法治研究奖三等奖（2019年8月）。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16</w:t>
            </w:r>
            <w:r>
              <w:rPr>
                <w:rFonts w:hint="eastAsia" w:ascii="楷体" w:hAnsi="楷体" w:eastAsia="楷体"/>
                <w:sz w:val="24"/>
              </w:rPr>
              <w:t>.甘肃省高校社科成果奖二等奖（2014年7月）。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</w:t>
            </w:r>
            <w:r>
              <w:rPr>
                <w:rFonts w:ascii="楷体" w:hAnsi="楷体" w:eastAsia="楷体"/>
                <w:sz w:val="24"/>
              </w:rPr>
              <w:t>7</w:t>
            </w:r>
            <w:r>
              <w:rPr>
                <w:rFonts w:hint="eastAsia" w:ascii="楷体" w:hAnsi="楷体" w:eastAsia="楷体"/>
                <w:sz w:val="24"/>
              </w:rPr>
              <w:t>.甘肃省高校社科成果奖三等奖（2012年7月）。</w:t>
            </w:r>
          </w:p>
          <w:p>
            <w:pPr>
              <w:pStyle w:val="3"/>
              <w:spacing w:before="0" w:after="0"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三、教学获奖和表彰类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1.吉林省教学成果奖三等奖（排名第四）（2022年12月）。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2.中国法学教育研究成果奖二等奖（排名第二）（2021年10月）。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3.甘肃省普通高等学校青年教师成才奖（2015年12月）。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4.吉林大学本科“课堂教学质量奖”优秀奖（2021年9月）。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5.吉林大学2020-2021学年吉林大学实践教学团队奖（排名第三）（2021年9月）。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6.吉林大学2019-2020学年优秀班主任（2021年9月）。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7.吉林大学法学院岳成奖教金（2017年10月）。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四、其他获奖和表彰类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1.吉林大学优秀青年教师培养计划（精英阶段）（2019-2020），资助经费20万，（20</w:t>
            </w:r>
            <w:r>
              <w:rPr>
                <w:rFonts w:ascii="楷体" w:hAnsi="楷体" w:eastAsia="楷体"/>
                <w:sz w:val="24"/>
              </w:rPr>
              <w:t>17</w:t>
            </w:r>
            <w:r>
              <w:rPr>
                <w:rFonts w:hint="eastAsia" w:ascii="楷体" w:hAnsi="楷体" w:eastAsia="楷体"/>
                <w:sz w:val="24"/>
              </w:rPr>
              <w:t>年1</w:t>
            </w:r>
            <w:r>
              <w:rPr>
                <w:rFonts w:ascii="楷体" w:hAnsi="楷体" w:eastAsia="楷体"/>
                <w:sz w:val="24"/>
              </w:rPr>
              <w:t>0</w:t>
            </w:r>
            <w:r>
              <w:rPr>
                <w:rFonts w:hint="eastAsia" w:ascii="楷体" w:hAnsi="楷体" w:eastAsia="楷体"/>
                <w:sz w:val="24"/>
              </w:rPr>
              <w:t>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.吉林大学“十三五”哲学社会科学青年标兵（2022年9月）。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3</w:t>
            </w:r>
            <w:r>
              <w:rPr>
                <w:rFonts w:hint="eastAsia" w:ascii="楷体" w:hAnsi="楷体" w:eastAsia="楷体"/>
                <w:sz w:val="24"/>
              </w:rPr>
              <w:t>.吉林大学2021年度人才工作先进个人（2022年5月）。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.吉林大学法学院2018年度先进工作者（2019年4月）。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5</w:t>
            </w:r>
            <w:r>
              <w:rPr>
                <w:rFonts w:hint="eastAsia" w:ascii="楷体" w:hAnsi="楷体" w:eastAsia="楷体"/>
                <w:sz w:val="24"/>
              </w:rPr>
              <w:t>.吉林大学法学院“佐丹力”法学研究繁荣计划（2017-2020），资助经费7.5万，（20</w:t>
            </w:r>
            <w:r>
              <w:rPr>
                <w:rFonts w:ascii="楷体" w:hAnsi="楷体" w:eastAsia="楷体"/>
                <w:sz w:val="24"/>
              </w:rPr>
              <w:t>18</w:t>
            </w:r>
            <w:r>
              <w:rPr>
                <w:rFonts w:hint="eastAsia" w:ascii="楷体" w:hAnsi="楷体" w:eastAsia="楷体"/>
                <w:sz w:val="24"/>
              </w:rPr>
              <w:t>年6月）。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4F50"/>
    <w:rsid w:val="00057EA5"/>
    <w:rsid w:val="00060C1C"/>
    <w:rsid w:val="000627A8"/>
    <w:rsid w:val="00097EFE"/>
    <w:rsid w:val="000E0B7D"/>
    <w:rsid w:val="00116253"/>
    <w:rsid w:val="00152AEF"/>
    <w:rsid w:val="001B3230"/>
    <w:rsid w:val="00202030"/>
    <w:rsid w:val="0020559C"/>
    <w:rsid w:val="00214EAD"/>
    <w:rsid w:val="002172F2"/>
    <w:rsid w:val="00274F20"/>
    <w:rsid w:val="002A0F2F"/>
    <w:rsid w:val="00327B22"/>
    <w:rsid w:val="00330EF0"/>
    <w:rsid w:val="00346BBD"/>
    <w:rsid w:val="0034720D"/>
    <w:rsid w:val="00370012"/>
    <w:rsid w:val="003A5AAF"/>
    <w:rsid w:val="003C54F1"/>
    <w:rsid w:val="003D5287"/>
    <w:rsid w:val="0040630A"/>
    <w:rsid w:val="004209B9"/>
    <w:rsid w:val="00501FBB"/>
    <w:rsid w:val="00512E69"/>
    <w:rsid w:val="00522685"/>
    <w:rsid w:val="0052358C"/>
    <w:rsid w:val="00557DB2"/>
    <w:rsid w:val="00582CDD"/>
    <w:rsid w:val="005A1AE7"/>
    <w:rsid w:val="005F5266"/>
    <w:rsid w:val="00652C5B"/>
    <w:rsid w:val="00661CBA"/>
    <w:rsid w:val="00695CA4"/>
    <w:rsid w:val="00704119"/>
    <w:rsid w:val="0075187A"/>
    <w:rsid w:val="007645B7"/>
    <w:rsid w:val="00795FCC"/>
    <w:rsid w:val="007F5A5B"/>
    <w:rsid w:val="00802193"/>
    <w:rsid w:val="008905F5"/>
    <w:rsid w:val="008B028C"/>
    <w:rsid w:val="00902133"/>
    <w:rsid w:val="009339A8"/>
    <w:rsid w:val="00954373"/>
    <w:rsid w:val="009C7639"/>
    <w:rsid w:val="009E453A"/>
    <w:rsid w:val="009E45E9"/>
    <w:rsid w:val="009F6531"/>
    <w:rsid w:val="00A31411"/>
    <w:rsid w:val="00A37907"/>
    <w:rsid w:val="00AB1EAF"/>
    <w:rsid w:val="00AF1844"/>
    <w:rsid w:val="00B07B9B"/>
    <w:rsid w:val="00B302AF"/>
    <w:rsid w:val="00B32A38"/>
    <w:rsid w:val="00B560D8"/>
    <w:rsid w:val="00B7426B"/>
    <w:rsid w:val="00B769A3"/>
    <w:rsid w:val="00BA54DB"/>
    <w:rsid w:val="00BC6065"/>
    <w:rsid w:val="00C14BA8"/>
    <w:rsid w:val="00C15E8E"/>
    <w:rsid w:val="00C7452B"/>
    <w:rsid w:val="00CA53D5"/>
    <w:rsid w:val="00CE0C12"/>
    <w:rsid w:val="00D347A8"/>
    <w:rsid w:val="00D44AF2"/>
    <w:rsid w:val="00D45CD9"/>
    <w:rsid w:val="00DC3334"/>
    <w:rsid w:val="00DD0ED0"/>
    <w:rsid w:val="00E01B70"/>
    <w:rsid w:val="00E07F64"/>
    <w:rsid w:val="00E15B8D"/>
    <w:rsid w:val="00E462AB"/>
    <w:rsid w:val="00E55F8B"/>
    <w:rsid w:val="00EC6173"/>
    <w:rsid w:val="00EC7E9C"/>
    <w:rsid w:val="00EF2AC3"/>
    <w:rsid w:val="00EF6EEE"/>
    <w:rsid w:val="00F16BBA"/>
    <w:rsid w:val="00F25F04"/>
    <w:rsid w:val="00F316D4"/>
    <w:rsid w:val="00F5325C"/>
    <w:rsid w:val="00F65819"/>
    <w:rsid w:val="00FA6B46"/>
    <w:rsid w:val="00FB0259"/>
    <w:rsid w:val="00FB06D9"/>
    <w:rsid w:val="1E9FDEB4"/>
    <w:rsid w:val="1EBD9178"/>
    <w:rsid w:val="2CEFB339"/>
    <w:rsid w:val="2EFBBC48"/>
    <w:rsid w:val="3B9D0C2F"/>
    <w:rsid w:val="3BBF1B45"/>
    <w:rsid w:val="3DFF8C80"/>
    <w:rsid w:val="3FAC72FC"/>
    <w:rsid w:val="3FDF1573"/>
    <w:rsid w:val="3FDF6C0E"/>
    <w:rsid w:val="3FE95ABC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5FEFFFDA"/>
    <w:rsid w:val="6F9B4CF3"/>
    <w:rsid w:val="6FAF0381"/>
    <w:rsid w:val="6FFF2EC6"/>
    <w:rsid w:val="79251546"/>
    <w:rsid w:val="79FF6188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5A8D308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73E439"/>
    <w:rsid w:val="FFAD001C"/>
    <w:rsid w:val="FFBF504F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标题 3 Char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3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批注框文本 Char"/>
    <w:basedOn w:val="9"/>
    <w:link w:val="5"/>
    <w:semiHidden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8125</Words>
  <Characters>9196</Characters>
  <Lines>77</Lines>
  <Paragraphs>21</Paragraphs>
  <TotalTime>147</TotalTime>
  <ScaleCrop>false</ScaleCrop>
  <LinksUpToDate>false</LinksUpToDate>
  <CharactersWithSpaces>9368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2023-03-10T02:21:00Z</dcterms:created>
  <dc:creator>fxhuser</dc:creator>
  <cp:lastModifiedBy>执牛耳</cp:lastModifiedBy>
  <cp:lastPrinted>2023-03-14T23:36:00Z</cp:lastPrinted>
  <dcterms:modified xsi:type="dcterms:W3CDTF">2023-04-27T06:31:56Z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5440F0C5758C38FAEE0E4564A776BCA2_42</vt:lpwstr>
  </property>
</Properties>
</file>