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right="945" w:rightChars="450"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胡春健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ind w:right="945" w:rightChars="45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945" w:rightChars="450"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上海市闵行区人民检察院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</w:p>
    <w:p>
      <w:pPr>
        <w:snapToGrid w:val="0"/>
        <w:ind w:right="945" w:rightChars="45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945" w:rightChars="450"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上海市法学会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</w:t>
      </w:r>
    </w:p>
    <w:p>
      <w:pPr>
        <w:snapToGrid w:val="0"/>
        <w:ind w:right="945" w:rightChars="450" w:firstLine="1928" w:firstLineChars="600"/>
        <w:jc w:val="both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中国法学会检察学研究会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胡春健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122045" cy="1631315"/>
                  <wp:effectExtent l="0" t="0" r="1905" b="6985"/>
                  <wp:docPr id="1" name="图片 1" descr="胡检白底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检白底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1978年7月21日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二级高级检察官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检察长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上海市闵行区人民检察院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上海市闵行区凯城路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2004年参加工作以来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出版个人专著一部，在《法学》《华东政法大学学报》《政治与法律》《人民检察》等杂志报刊发表论文40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。胡春健同志长期在经济金融犯罪的公诉办案一线，能将办案实践中的疑难问题提炼研究后予以发表，包括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非法集资中的金融消费者刑事保护、单位走私犯罪疑难问题、妨害信用卡管理罪司法认定、互联网支付平台、虚拟货币领域的新型犯罪等在论文发表当时均属前沿研究；寄售代销贸易走私犯罪、公式定价走私方式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提供规避著作权技术措施行为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都是全国最早开始研究的刑事疑难问题，体现出该同志善于研究司法实践和理论中最前沿问题的能力，同时，该同志在工作之余，利用业务时间获得了刑法学博士学位，又完成了博士后流动的科研工作（刑事诉讼法领域，主要研究检察机关的调查核实权，相应成果被国家检察官学院</w:t>
            </w:r>
            <w:r>
              <w:rPr>
                <w:rFonts w:hint="eastAsia" w:ascii="宋体" w:hAnsi="宋体"/>
                <w:color w:val="000000"/>
                <w:sz w:val="24"/>
              </w:rPr>
              <w:t>科研信息要报采用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），不断深化和提升自己的理论水平，具有较高的理论素养并与实践相结合的能力。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其重要学术成果如下：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1.出版个人专著：《金融消费者刑事保护问题研究》，上海社会科学院出版社2015年4月出版；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2.《单位走私犯罪主体的认定》发表于《法学》2007年第3期，第1作者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6，被下载数616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3.《刑事审判监督制度之完善》发表于《华东政法大学学报》2005年第5期，合作完成，第2作者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10，被下载数399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4.《妨害信用卡管理罪的司法认定》发表于《华东政法大学学报》2008年第3期，合作完成，第2作者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8，被下载数438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5.《单位走私犯罪法律适用若干问题探讨》发表于《政治与法律》2009年第4期，合作完成，第2作者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8，被下载数468）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6.《论寄售代销贸易走私犯罪的司法认定》发表于《政治与法律》2012年第9期，合作完成，第1作者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4，被下载数315）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7.《中日金融消费者刑事法保护比较初探》发表于《政治与法律》2013年第8期，合作完成，第2作者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15，被下载数623）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8.《刑法中经营性非法集资行为的认定研究》发表于《云南大学学报》2013年第5期，合作完成，第2作者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8，被下载数211）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9.《涉第三方支付平台侵财案件的司法认定》发表于《人民检察》2019年第22期，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合作完成，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2，被下载数150）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10.《互联网金融案件的刑民界分》发表于《人民检察》2019年第9期，第1作者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1，被下载数249）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11．《涉虚拟货币领域刑事犯罪研究》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发表于《上海法学研究》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2020年第20卷，第1作者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0，被下载数585）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12．《提供规避著作权技术措施行为的刑法应对》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发表于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《中国检察官》2021年第14期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4，被下载数322）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13.《股东变更如何认定单位走私犯罪》发表于《检察日报》2006年12月18日第3版，第2作者；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.参与编写《体系刑法学》，中国法制出版社2012年10月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第1版；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.参与编写《最高人民检察院第17批指导性案例适用指引》，中国检察出版社2020年11月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第1版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16.参与编写《金融犯罪办案指引》，中国检察出版社2022年5月，第1版；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 w:eastAsia="zh-CN"/>
              </w:rPr>
              <w:t>《探索公益诉讼城市安全领域新样本》发表于《检察风云》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2022年第15期，第1作者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0，被下载数58）；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18.《相对不起诉与前科劣迹机制衔接探讨》发表于《人民检察》2022年增刊，第1作者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0，被下载数20）；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网络直播诈骗刑法规制路径与立体化防控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》发表于《中国检察官》2022年第21期，第1作者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0，被下载数168）；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20.《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知识产权检察职能集中统一履行的实践与完善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》发表于《犯罪研究》2022年第2期，第2作者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（被引用数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0，被下载数257）；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21.《民法典时代检察机关参与生态环境保护能动履职研究》发表于《上海检察研究》2022年第2辑，第1作者；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22.《知识产权权利人实质性参与刑事诉讼制度研究》发表于《犯罪研究》2022年第6期。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05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胡春健不仅获得了公诉实务评选中的最高检全国性的荣誉，而且还在理论研究领域获得了上海市法学会的十大杰出青年法学家，系理论和实务相结合的优秀青年。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2021年，被聘为上海市习近平法治思想学习实践宣讲团成员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（市级）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获评第七届上海市杰出青年法学家（市级）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2019年，被上海市法学会评为首届青年法学法律人才，并获月度之星（市级）；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2017年，获评第六届全国优秀公诉人（国家级）；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2017年，入选最高人民检察院教育讲师团成员（国家级）；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2016年，获评上海市第五届检察业务专家（市级）；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2012年，被评为市级机关系统青年岗位能手（市级）；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2012年，被评为市检察院直属机关优秀共产党员（市级）；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2011年，被最高人民检察院荣记个人三等功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（国家级）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2011年，获评上海市第九届优秀公诉人（市级）；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2011年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被评为市检察院直属机关优秀共产党员（市级）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ind w:firstLine="480" w:firstLineChars="200"/>
              <w:jc w:val="both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3E9EA05"/>
    <w:rsid w:val="0FEF25FB"/>
    <w:rsid w:val="12FEB6FD"/>
    <w:rsid w:val="14EF7E87"/>
    <w:rsid w:val="159F5D6E"/>
    <w:rsid w:val="1AF75455"/>
    <w:rsid w:val="1BE72A33"/>
    <w:rsid w:val="1EBD9178"/>
    <w:rsid w:val="1FD3035E"/>
    <w:rsid w:val="1FE7008D"/>
    <w:rsid w:val="1FF9E902"/>
    <w:rsid w:val="26FD3ABD"/>
    <w:rsid w:val="2ADE638E"/>
    <w:rsid w:val="2CEFB339"/>
    <w:rsid w:val="2E6C8433"/>
    <w:rsid w:val="2EFBBC48"/>
    <w:rsid w:val="2F672023"/>
    <w:rsid w:val="333F8EAD"/>
    <w:rsid w:val="36DF04E1"/>
    <w:rsid w:val="37D7686E"/>
    <w:rsid w:val="37DF1A4B"/>
    <w:rsid w:val="37FFDE28"/>
    <w:rsid w:val="392FE93D"/>
    <w:rsid w:val="3AEA60C9"/>
    <w:rsid w:val="3B9D0C2F"/>
    <w:rsid w:val="3BAF6439"/>
    <w:rsid w:val="3BBF1B45"/>
    <w:rsid w:val="3BF1F986"/>
    <w:rsid w:val="3BFC0805"/>
    <w:rsid w:val="3DF7FC27"/>
    <w:rsid w:val="3DFF8C80"/>
    <w:rsid w:val="3EE6E0F9"/>
    <w:rsid w:val="3F7F675D"/>
    <w:rsid w:val="3FAC72FC"/>
    <w:rsid w:val="3FDF6C0E"/>
    <w:rsid w:val="3FE95ABC"/>
    <w:rsid w:val="45FA4D21"/>
    <w:rsid w:val="45FCC343"/>
    <w:rsid w:val="4BFF7D8F"/>
    <w:rsid w:val="4D5F8768"/>
    <w:rsid w:val="4DFEABC9"/>
    <w:rsid w:val="4DFFD835"/>
    <w:rsid w:val="4F778B44"/>
    <w:rsid w:val="4FFBB285"/>
    <w:rsid w:val="4FFFCE16"/>
    <w:rsid w:val="51FED7AB"/>
    <w:rsid w:val="562D5B19"/>
    <w:rsid w:val="567E7418"/>
    <w:rsid w:val="56EB160C"/>
    <w:rsid w:val="56EEFD7E"/>
    <w:rsid w:val="56FFCE55"/>
    <w:rsid w:val="57B74E1B"/>
    <w:rsid w:val="57FFCC7A"/>
    <w:rsid w:val="591FD8F5"/>
    <w:rsid w:val="597E71FE"/>
    <w:rsid w:val="59AE5564"/>
    <w:rsid w:val="59FA2736"/>
    <w:rsid w:val="5AAC40BB"/>
    <w:rsid w:val="5B737505"/>
    <w:rsid w:val="5BD462C2"/>
    <w:rsid w:val="5BE9A87D"/>
    <w:rsid w:val="5BF53B71"/>
    <w:rsid w:val="5CEBBB71"/>
    <w:rsid w:val="5DD32290"/>
    <w:rsid w:val="5DF46E1D"/>
    <w:rsid w:val="5DFEE7D4"/>
    <w:rsid w:val="5E560B2C"/>
    <w:rsid w:val="5E5F5EC8"/>
    <w:rsid w:val="5E75B966"/>
    <w:rsid w:val="5EB84EF4"/>
    <w:rsid w:val="5EFA7CCD"/>
    <w:rsid w:val="5F3743E3"/>
    <w:rsid w:val="5FBC2178"/>
    <w:rsid w:val="5FF77237"/>
    <w:rsid w:val="5FFFD646"/>
    <w:rsid w:val="5FFFFD7F"/>
    <w:rsid w:val="62FFDCAE"/>
    <w:rsid w:val="634BD0DB"/>
    <w:rsid w:val="63BFD95A"/>
    <w:rsid w:val="63EA5B25"/>
    <w:rsid w:val="6685281C"/>
    <w:rsid w:val="66F7EFA2"/>
    <w:rsid w:val="67BA616D"/>
    <w:rsid w:val="6A1A269B"/>
    <w:rsid w:val="6AFF7FF4"/>
    <w:rsid w:val="6B7F3327"/>
    <w:rsid w:val="6BB6CB61"/>
    <w:rsid w:val="6D6FB939"/>
    <w:rsid w:val="6EEBEA47"/>
    <w:rsid w:val="6F1F751F"/>
    <w:rsid w:val="6F3B1386"/>
    <w:rsid w:val="6F3E7117"/>
    <w:rsid w:val="6F73500F"/>
    <w:rsid w:val="6F9B4CF3"/>
    <w:rsid w:val="6FADD157"/>
    <w:rsid w:val="6FAF0381"/>
    <w:rsid w:val="6FBB27F8"/>
    <w:rsid w:val="6FBFFCA9"/>
    <w:rsid w:val="6FDF0D79"/>
    <w:rsid w:val="6FDFA390"/>
    <w:rsid w:val="6FFEC8DF"/>
    <w:rsid w:val="6FFF2EC6"/>
    <w:rsid w:val="6FFF438D"/>
    <w:rsid w:val="71BE44C7"/>
    <w:rsid w:val="71FC9CAB"/>
    <w:rsid w:val="73F3E541"/>
    <w:rsid w:val="73FFA9B1"/>
    <w:rsid w:val="73FFB72D"/>
    <w:rsid w:val="74F49EB4"/>
    <w:rsid w:val="757DE146"/>
    <w:rsid w:val="75ED5D32"/>
    <w:rsid w:val="75FB2CAE"/>
    <w:rsid w:val="76F73257"/>
    <w:rsid w:val="76FB79B1"/>
    <w:rsid w:val="772A8E32"/>
    <w:rsid w:val="774D53B5"/>
    <w:rsid w:val="777B0400"/>
    <w:rsid w:val="7799C67D"/>
    <w:rsid w:val="77DA46F2"/>
    <w:rsid w:val="7952081C"/>
    <w:rsid w:val="799B084F"/>
    <w:rsid w:val="79BA5D1D"/>
    <w:rsid w:val="79DE4EA0"/>
    <w:rsid w:val="7A8FFAC6"/>
    <w:rsid w:val="7AEB2F72"/>
    <w:rsid w:val="7AF7D753"/>
    <w:rsid w:val="7AFB59A5"/>
    <w:rsid w:val="7B3E05C9"/>
    <w:rsid w:val="7BBBB103"/>
    <w:rsid w:val="7BDFCBFF"/>
    <w:rsid w:val="7BDFF79E"/>
    <w:rsid w:val="7BE62360"/>
    <w:rsid w:val="7BEFC68B"/>
    <w:rsid w:val="7CA3E458"/>
    <w:rsid w:val="7CFECE28"/>
    <w:rsid w:val="7D2D1E63"/>
    <w:rsid w:val="7D6BB652"/>
    <w:rsid w:val="7D79C700"/>
    <w:rsid w:val="7DB18C74"/>
    <w:rsid w:val="7DBAEB37"/>
    <w:rsid w:val="7DBF1A34"/>
    <w:rsid w:val="7DEB2C32"/>
    <w:rsid w:val="7DF19D4E"/>
    <w:rsid w:val="7DF515A6"/>
    <w:rsid w:val="7DFBB44F"/>
    <w:rsid w:val="7DFD85C2"/>
    <w:rsid w:val="7DFF523D"/>
    <w:rsid w:val="7E3C226C"/>
    <w:rsid w:val="7E5F3199"/>
    <w:rsid w:val="7E7AB804"/>
    <w:rsid w:val="7EED4EC4"/>
    <w:rsid w:val="7EF35ADA"/>
    <w:rsid w:val="7EFAF087"/>
    <w:rsid w:val="7EFBFFC4"/>
    <w:rsid w:val="7EFF302C"/>
    <w:rsid w:val="7F5DCEE0"/>
    <w:rsid w:val="7F67E8E6"/>
    <w:rsid w:val="7F772597"/>
    <w:rsid w:val="7F7B04A8"/>
    <w:rsid w:val="7F7D58EC"/>
    <w:rsid w:val="7F7EF37E"/>
    <w:rsid w:val="7F9BE0C6"/>
    <w:rsid w:val="7FA5EC14"/>
    <w:rsid w:val="7FABAA74"/>
    <w:rsid w:val="7FB3CCA3"/>
    <w:rsid w:val="7FD7D6B2"/>
    <w:rsid w:val="7FF363F9"/>
    <w:rsid w:val="7FF37BAA"/>
    <w:rsid w:val="7FFAF420"/>
    <w:rsid w:val="7FFB5D4F"/>
    <w:rsid w:val="7FFE2FFF"/>
    <w:rsid w:val="7FFE6850"/>
    <w:rsid w:val="7FFF9218"/>
    <w:rsid w:val="7FFF9ED9"/>
    <w:rsid w:val="7FFFCC58"/>
    <w:rsid w:val="873F2367"/>
    <w:rsid w:val="8DF756F0"/>
    <w:rsid w:val="8F134419"/>
    <w:rsid w:val="8FF2CD26"/>
    <w:rsid w:val="96681C58"/>
    <w:rsid w:val="97724D21"/>
    <w:rsid w:val="997BE018"/>
    <w:rsid w:val="9D4B5CFF"/>
    <w:rsid w:val="9DBC5BFE"/>
    <w:rsid w:val="9EEFEDC8"/>
    <w:rsid w:val="9F7D7027"/>
    <w:rsid w:val="A7EB79A2"/>
    <w:rsid w:val="ABC2528A"/>
    <w:rsid w:val="ABFD3B40"/>
    <w:rsid w:val="AD5F5AE9"/>
    <w:rsid w:val="AE8F304D"/>
    <w:rsid w:val="AFFF087D"/>
    <w:rsid w:val="AFFF7D23"/>
    <w:rsid w:val="B72EE8BC"/>
    <w:rsid w:val="B7D56515"/>
    <w:rsid w:val="B7FDCBBC"/>
    <w:rsid w:val="B9DF132D"/>
    <w:rsid w:val="B9EF54B5"/>
    <w:rsid w:val="BA7B23C6"/>
    <w:rsid w:val="BAA98795"/>
    <w:rsid w:val="BCF45C72"/>
    <w:rsid w:val="BD3FA5DE"/>
    <w:rsid w:val="BDCF2187"/>
    <w:rsid w:val="BDDEA4FF"/>
    <w:rsid w:val="BDF7781D"/>
    <w:rsid w:val="BDFDE748"/>
    <w:rsid w:val="BE3FDE16"/>
    <w:rsid w:val="BE7DF7A1"/>
    <w:rsid w:val="BEFF65E4"/>
    <w:rsid w:val="BF7F8437"/>
    <w:rsid w:val="BFCF2725"/>
    <w:rsid w:val="BFDF6896"/>
    <w:rsid w:val="BFDFD2CB"/>
    <w:rsid w:val="BFFAA125"/>
    <w:rsid w:val="C6AF4363"/>
    <w:rsid w:val="CBF73E3B"/>
    <w:rsid w:val="CD3EDDE9"/>
    <w:rsid w:val="CDDD8D4C"/>
    <w:rsid w:val="CE7E0776"/>
    <w:rsid w:val="CF76AB30"/>
    <w:rsid w:val="CFF36944"/>
    <w:rsid w:val="CFFF7263"/>
    <w:rsid w:val="D3B6BAAA"/>
    <w:rsid w:val="D3F64D69"/>
    <w:rsid w:val="D3FF7C11"/>
    <w:rsid w:val="D4EB58B4"/>
    <w:rsid w:val="D7371D03"/>
    <w:rsid w:val="D7BDC11F"/>
    <w:rsid w:val="D7DF3F96"/>
    <w:rsid w:val="D7E3DEC0"/>
    <w:rsid w:val="D7F72FBC"/>
    <w:rsid w:val="D7FE4373"/>
    <w:rsid w:val="D9F286A0"/>
    <w:rsid w:val="DBEF980E"/>
    <w:rsid w:val="DCFA2AC7"/>
    <w:rsid w:val="DD5EE807"/>
    <w:rsid w:val="DD6E42FE"/>
    <w:rsid w:val="DD7F6F43"/>
    <w:rsid w:val="DDBF4A0E"/>
    <w:rsid w:val="DE0F4C42"/>
    <w:rsid w:val="DE7F24A6"/>
    <w:rsid w:val="DF67464A"/>
    <w:rsid w:val="DFA34EF9"/>
    <w:rsid w:val="DFAD596B"/>
    <w:rsid w:val="DFEB4ADC"/>
    <w:rsid w:val="DFEFD79F"/>
    <w:rsid w:val="DFF2E3F1"/>
    <w:rsid w:val="DFF7E9E8"/>
    <w:rsid w:val="DFFB4289"/>
    <w:rsid w:val="DFFF3A06"/>
    <w:rsid w:val="DFFFC88C"/>
    <w:rsid w:val="E1FC38B2"/>
    <w:rsid w:val="E34FD4A1"/>
    <w:rsid w:val="E3EFE709"/>
    <w:rsid w:val="E57FF382"/>
    <w:rsid w:val="E74F55EE"/>
    <w:rsid w:val="E7CF261F"/>
    <w:rsid w:val="E7DF3CFF"/>
    <w:rsid w:val="E7F9F2C8"/>
    <w:rsid w:val="E7FF4679"/>
    <w:rsid w:val="E87128C7"/>
    <w:rsid w:val="E9B7C62D"/>
    <w:rsid w:val="E9F71EFB"/>
    <w:rsid w:val="E9FFB296"/>
    <w:rsid w:val="ECAE8611"/>
    <w:rsid w:val="ED661AE8"/>
    <w:rsid w:val="EDFF9236"/>
    <w:rsid w:val="EE5E3F57"/>
    <w:rsid w:val="EEFDCF1B"/>
    <w:rsid w:val="EF358C7A"/>
    <w:rsid w:val="EF7F5C85"/>
    <w:rsid w:val="EFA65DD0"/>
    <w:rsid w:val="EFBB154B"/>
    <w:rsid w:val="EFBFEC5E"/>
    <w:rsid w:val="F07B5AE7"/>
    <w:rsid w:val="F2715785"/>
    <w:rsid w:val="F38D895D"/>
    <w:rsid w:val="F3D759E3"/>
    <w:rsid w:val="F3D7AF21"/>
    <w:rsid w:val="F3DD665D"/>
    <w:rsid w:val="F535B63D"/>
    <w:rsid w:val="F6DF02E5"/>
    <w:rsid w:val="F71E8CE7"/>
    <w:rsid w:val="F75C0BE6"/>
    <w:rsid w:val="F76F52B1"/>
    <w:rsid w:val="F77E5F01"/>
    <w:rsid w:val="F7AF7DD2"/>
    <w:rsid w:val="F7BB40E7"/>
    <w:rsid w:val="F7DB842D"/>
    <w:rsid w:val="F7F0602B"/>
    <w:rsid w:val="F7F790C0"/>
    <w:rsid w:val="F7FEC3B7"/>
    <w:rsid w:val="F9CF8CB2"/>
    <w:rsid w:val="FA167DFA"/>
    <w:rsid w:val="FA5DA317"/>
    <w:rsid w:val="FAF41D82"/>
    <w:rsid w:val="FAFBA160"/>
    <w:rsid w:val="FB3BD7B7"/>
    <w:rsid w:val="FB6E079A"/>
    <w:rsid w:val="FB7E255A"/>
    <w:rsid w:val="FB999819"/>
    <w:rsid w:val="FBDBA10B"/>
    <w:rsid w:val="FBF77622"/>
    <w:rsid w:val="FBFDE60F"/>
    <w:rsid w:val="FBFFDC2B"/>
    <w:rsid w:val="FCFDDD71"/>
    <w:rsid w:val="FD338641"/>
    <w:rsid w:val="FD3D1CC0"/>
    <w:rsid w:val="FD6F11DE"/>
    <w:rsid w:val="FD7EF368"/>
    <w:rsid w:val="FDABA8D4"/>
    <w:rsid w:val="FDEA2A97"/>
    <w:rsid w:val="FDF0CE0A"/>
    <w:rsid w:val="FDF9BD64"/>
    <w:rsid w:val="FDFDBD3D"/>
    <w:rsid w:val="FDFFB52B"/>
    <w:rsid w:val="FDFFF8E1"/>
    <w:rsid w:val="FE734873"/>
    <w:rsid w:val="FE7F89ED"/>
    <w:rsid w:val="FEEE7692"/>
    <w:rsid w:val="FEEF5289"/>
    <w:rsid w:val="FEF27760"/>
    <w:rsid w:val="FEFF16D8"/>
    <w:rsid w:val="FEFF9F85"/>
    <w:rsid w:val="FF3CF22F"/>
    <w:rsid w:val="FF663481"/>
    <w:rsid w:val="FF6D7F3E"/>
    <w:rsid w:val="FF7300DA"/>
    <w:rsid w:val="FF8C7E1F"/>
    <w:rsid w:val="FFAD001C"/>
    <w:rsid w:val="FFB7BE3D"/>
    <w:rsid w:val="FFBB5622"/>
    <w:rsid w:val="FFBF67D3"/>
    <w:rsid w:val="FFBFB593"/>
    <w:rsid w:val="FFBFB847"/>
    <w:rsid w:val="FFD36C04"/>
    <w:rsid w:val="FFD77033"/>
    <w:rsid w:val="FFD7EF20"/>
    <w:rsid w:val="FFDBCFD0"/>
    <w:rsid w:val="FFDF0FB2"/>
    <w:rsid w:val="FFFB9E62"/>
    <w:rsid w:val="FFFDF7A9"/>
    <w:rsid w:val="FFFF9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5210</Words>
  <Characters>5864</Characters>
  <Lines>12</Lines>
  <Paragraphs>3</Paragraphs>
  <TotalTime>11</TotalTime>
  <ScaleCrop>false</ScaleCrop>
  <LinksUpToDate>false</LinksUpToDate>
  <CharactersWithSpaces>6158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2023-01-02T19:44:00Z</dcterms:created>
  <dc:creator>fxhuser</dc:creator>
  <cp:lastModifiedBy>执牛耳</cp:lastModifiedBy>
  <cp:lastPrinted>2023-02-18T20:49:00Z</cp:lastPrinted>
  <dcterms:modified xsi:type="dcterms:W3CDTF">2023-04-27T08:30:20Z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982FC4FEB412E9E133E64464D4129ACE_42</vt:lpwstr>
  </property>
</Properties>
</file>