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张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林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西藏民族大学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西藏自治区法学会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张林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573530"/>
                  <wp:effectExtent l="0" t="0" r="127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年4月2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法学博士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241" w:firstLineChars="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法学院副院长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西藏民族大学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陕西省咸阳市渭城区文汇东路6号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一、专著：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《商标显著性研究》独立作者，2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月厦门大学出版社，30万字；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《中国西藏科技进步与知识产权法》第一作者，2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月法律出版社，16万字；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《知识产权纠纷仲裁解决机制研究》参编人员，2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年5月厦门大学出版社，3万字；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《专利合同理论与实务研究》参编人员，2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007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月法律出版社，10万字。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二、论文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《词语商标显著性新探——对商标显著性的“弗兰德利分类法”的不同理解》一文2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年4月发表于《政治与法律》（C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SSCI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），知网统计被引用5次；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《标示来源功能与商标显著性——兼与彭学龙老师商榷》一文2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年9月发表于《甘肃政法学院学报》（CSSCI），知网统计被引用9次；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《洛克劳动财产权理论与知识产权的“共有状态”》一文2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年9月发表于《西藏民族大学学报（哲学社会科学版）》（CSSCI）；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《努力培养符合西藏社会发展需要的法治人才——学习总书记致西藏民族大学建校6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周年贺信精神》一文2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年5月发表于《西藏民族大学学报（哲学社会科学版）》（CSSCI），知网统计被引用2次；</w:t>
            </w:r>
          </w:p>
          <w:p>
            <w:pPr>
              <w:tabs>
                <w:tab w:val="left" w:pos="4185"/>
              </w:tabs>
              <w:snapToGrid w:val="0"/>
              <w:ind w:firstLine="241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《元朝治理西藏的法律体系研究——以诏令为中心》一文2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019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月发表于《元史及民族与边疆研究》（CSSCI）。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cs="Arial"/>
                <w:kern w:val="0"/>
                <w:sz w:val="28"/>
                <w:szCs w:val="28"/>
              </w:rPr>
            </w:pPr>
            <w:r>
              <w:rPr>
                <w:rFonts w:hint="eastAsia" w:cs="Arial"/>
                <w:kern w:val="0"/>
                <w:sz w:val="28"/>
                <w:szCs w:val="28"/>
              </w:rPr>
              <w:t>2</w:t>
            </w:r>
            <w:r>
              <w:rPr>
                <w:rFonts w:cs="Arial"/>
                <w:kern w:val="0"/>
                <w:sz w:val="28"/>
                <w:szCs w:val="28"/>
              </w:rPr>
              <w:t>022</w:t>
            </w:r>
            <w:r>
              <w:rPr>
                <w:rFonts w:hint="eastAsia" w:cs="Arial"/>
                <w:kern w:val="0"/>
                <w:sz w:val="28"/>
                <w:szCs w:val="28"/>
              </w:rPr>
              <w:t>年1</w:t>
            </w:r>
            <w:r>
              <w:rPr>
                <w:rFonts w:cs="Arial"/>
                <w:kern w:val="0"/>
                <w:sz w:val="28"/>
                <w:szCs w:val="28"/>
              </w:rPr>
              <w:t>2</w:t>
            </w:r>
            <w:r>
              <w:rPr>
                <w:rFonts w:hint="eastAsia" w:cs="Arial"/>
                <w:kern w:val="0"/>
                <w:sz w:val="28"/>
                <w:szCs w:val="28"/>
              </w:rPr>
              <w:t>月凭借《藏药产业专利保护现状与对策研究》一文荣获“咸阳市法学会优秀调研成果奖”二等奖，获得中国法学会组织的第十七届西部法治论坛获奖论文三等奖。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cs="Arial"/>
                <w:kern w:val="0"/>
                <w:sz w:val="28"/>
                <w:szCs w:val="28"/>
              </w:rPr>
            </w:pPr>
            <w:r>
              <w:rPr>
                <w:rFonts w:hint="eastAsia" w:cs="Arial"/>
                <w:kern w:val="0"/>
                <w:sz w:val="28"/>
                <w:szCs w:val="28"/>
              </w:rPr>
              <w:t>2</w:t>
            </w:r>
            <w:r>
              <w:rPr>
                <w:rFonts w:cs="Arial"/>
                <w:kern w:val="0"/>
                <w:sz w:val="28"/>
                <w:szCs w:val="28"/>
              </w:rPr>
              <w:t>021</w:t>
            </w:r>
            <w:r>
              <w:rPr>
                <w:rFonts w:hint="eastAsia" w:cs="Arial"/>
                <w:kern w:val="0"/>
                <w:sz w:val="28"/>
                <w:szCs w:val="28"/>
              </w:rPr>
              <w:t>年9月凭借论文《虚伪与荒诞：从“萨提亚格拉哈”剖析达赖集团的反动言行》荣获第七届“中国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﹒</w:t>
            </w:r>
            <w:r>
              <w:rPr>
                <w:rFonts w:hint="eastAsia" w:cs="Arial"/>
                <w:kern w:val="0"/>
                <w:sz w:val="28"/>
                <w:szCs w:val="28"/>
              </w:rPr>
              <w:t>民族区域法治论坛”二等奖；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cs="Arial"/>
                <w:kern w:val="0"/>
                <w:sz w:val="28"/>
                <w:szCs w:val="28"/>
              </w:rPr>
            </w:pPr>
            <w:r>
              <w:rPr>
                <w:rFonts w:hint="eastAsia" w:cs="Arial"/>
                <w:kern w:val="0"/>
                <w:sz w:val="28"/>
                <w:szCs w:val="28"/>
              </w:rPr>
              <w:t>2</w:t>
            </w:r>
            <w:r>
              <w:rPr>
                <w:rFonts w:cs="Arial"/>
                <w:kern w:val="0"/>
                <w:sz w:val="28"/>
                <w:szCs w:val="28"/>
              </w:rPr>
              <w:t>014</w:t>
            </w:r>
            <w:r>
              <w:rPr>
                <w:rFonts w:hint="eastAsia" w:cs="Arial"/>
                <w:kern w:val="0"/>
                <w:sz w:val="28"/>
                <w:szCs w:val="28"/>
              </w:rPr>
              <w:t>年9月凭借论文《依法治藏与人民代表大会制度的发展与完善》荣获西藏自治区人大常委会组织的“庆祝人民代表大会制度建立6</w:t>
            </w:r>
            <w:r>
              <w:rPr>
                <w:rFonts w:cs="Arial"/>
                <w:kern w:val="0"/>
                <w:sz w:val="28"/>
                <w:szCs w:val="28"/>
              </w:rPr>
              <w:t>0</w:t>
            </w:r>
            <w:r>
              <w:rPr>
                <w:rFonts w:hint="eastAsia" w:cs="Arial"/>
                <w:kern w:val="0"/>
                <w:sz w:val="28"/>
                <w:szCs w:val="28"/>
              </w:rPr>
              <w:t>周年、地方人大设立常委会3</w:t>
            </w:r>
            <w:r>
              <w:rPr>
                <w:rFonts w:cs="Arial"/>
                <w:kern w:val="0"/>
                <w:sz w:val="28"/>
                <w:szCs w:val="28"/>
              </w:rPr>
              <w:t>5</w:t>
            </w:r>
            <w:r>
              <w:rPr>
                <w:rFonts w:hint="eastAsia" w:cs="Arial"/>
                <w:kern w:val="0"/>
                <w:sz w:val="28"/>
                <w:szCs w:val="28"/>
              </w:rPr>
              <w:t>周年”理论研讨会有奖征文二等奖。</w:t>
            </w:r>
          </w:p>
          <w:p>
            <w:pPr>
              <w:pStyle w:val="8"/>
              <w:tabs>
                <w:tab w:val="left" w:pos="4185"/>
              </w:tabs>
              <w:snapToGrid w:val="0"/>
              <w:ind w:left="360" w:firstLine="0" w:firstLineChars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5346DD"/>
    <w:multiLevelType w:val="multilevel"/>
    <w:tmpl w:val="065346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110E86"/>
    <w:rsid w:val="001C5172"/>
    <w:rsid w:val="00240FBE"/>
    <w:rsid w:val="0025534B"/>
    <w:rsid w:val="00255C33"/>
    <w:rsid w:val="002E02BB"/>
    <w:rsid w:val="0031353C"/>
    <w:rsid w:val="00330F2F"/>
    <w:rsid w:val="00421790"/>
    <w:rsid w:val="0043633D"/>
    <w:rsid w:val="004E41CC"/>
    <w:rsid w:val="0052358C"/>
    <w:rsid w:val="005D4A6E"/>
    <w:rsid w:val="005D4B9D"/>
    <w:rsid w:val="006101D5"/>
    <w:rsid w:val="00635055"/>
    <w:rsid w:val="006F3D68"/>
    <w:rsid w:val="00740EB7"/>
    <w:rsid w:val="00765875"/>
    <w:rsid w:val="0097268F"/>
    <w:rsid w:val="009A6E2E"/>
    <w:rsid w:val="009F6BAD"/>
    <w:rsid w:val="00A10928"/>
    <w:rsid w:val="00A517F9"/>
    <w:rsid w:val="00A51C84"/>
    <w:rsid w:val="00AF70BE"/>
    <w:rsid w:val="00B40495"/>
    <w:rsid w:val="00B72B3E"/>
    <w:rsid w:val="00B8496E"/>
    <w:rsid w:val="00CC151D"/>
    <w:rsid w:val="00D24B9D"/>
    <w:rsid w:val="00D7261A"/>
    <w:rsid w:val="00E1624C"/>
    <w:rsid w:val="00E56F53"/>
    <w:rsid w:val="00EB6C3A"/>
    <w:rsid w:val="00F82046"/>
    <w:rsid w:val="00FB06D9"/>
    <w:rsid w:val="0FCD2674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3FF1D73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BDC387C"/>
    <w:rsid w:val="DE7F24A6"/>
    <w:rsid w:val="DFF54E57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2356</Words>
  <Characters>2582</Characters>
  <Lines>31</Lines>
  <Paragraphs>8</Paragraphs>
  <TotalTime>1</TotalTime>
  <ScaleCrop>false</ScaleCrop>
  <LinksUpToDate>false</LinksUpToDate>
  <CharactersWithSpaces>2752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2023-03-14T09:06:00Z</dcterms:created>
  <dc:creator>fxhuser</dc:creator>
  <cp:lastModifiedBy>执牛耳</cp:lastModifiedBy>
  <cp:lastPrinted>2023-03-14T07:15:00Z</cp:lastPrinted>
  <dcterms:modified xsi:type="dcterms:W3CDTF">2023-04-27T07:41:40Z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29EC37908A982FDD9CF24464435DAA0F_42</vt:lpwstr>
  </property>
</Properties>
</file>