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b/>
          <w:sz w:val="40"/>
          <w:szCs w:val="44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第八届“董必武青年法学成果奖”</w:t>
      </w:r>
    </w:p>
    <w:p>
      <w:pPr>
        <w:spacing w:before="312" w:beforeLines="100"/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入围终评作品名单</w:t>
      </w:r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（排名不分先后）</w:t>
      </w:r>
    </w:p>
    <w:p>
      <w:pPr>
        <w:jc w:val="center"/>
        <w:rPr>
          <w:rFonts w:ascii="楷体" w:hAnsi="楷体" w:eastAsia="楷体"/>
          <w:b/>
          <w:sz w:val="32"/>
          <w:szCs w:val="32"/>
        </w:rPr>
      </w:pP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440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明清司法经济对民众诉讼策略的影响：高昂讼费与健讼风气之悖论的一个分析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从君主命令到令、律之别</w:t>
            </w:r>
            <w:r>
              <w:rPr>
                <w:rFonts w:hint="eastAsia"/>
                <w:color w:val="000000"/>
                <w:sz w:val="24"/>
                <w:szCs w:val="24"/>
              </w:rPr>
              <w:t>——先秦法律形式变迁史纲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儒家子思学派的性情论与法思想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论法律学说的司法应用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追求裁判的社会效果：1983-2012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面向共治格局的法治形态及其展开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中国法治社会的结构及其运行机制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裁判文书援引学说的基本原理与规则建构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精神文明的宪法叙事：规范内涵与宪制结构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责任清单编制规则的法制逻辑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论法律大数据“领域理论”的构建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公共企事业单位信息公开：现实、理想与路径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党政联合发文的信息公开困境与规则重塑</w:t>
            </w:r>
            <w:r>
              <w:rPr>
                <w:rFonts w:hint="eastAsia"/>
                <w:color w:val="000000"/>
                <w:sz w:val="24"/>
                <w:szCs w:val="24"/>
              </w:rPr>
              <w:t>——基于司法裁判的分析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论我国行政法上的成本收益分析原则：理论证成与适用展开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论比例原则对立法权的约束及其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轻罪重判国家赔偿责任的证立及其类型化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行政协议的识别与边界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作为化解行政争议主渠道的行政复议：功能反思及路径优化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司法审查图景中行政协议主体的适格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行政诉讼给付判决的构造与功能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系统论宪法学新思维的七个命题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网络服务提供者间接侵权责任的移植与变异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确认之诉的限缩及其路径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反不正当竞争法在知识产权保护中适用边界的确定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算法权力及其规制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民法典语境下成年监护改革的拐点与转进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民法典物权编中让与担保制度的进路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“Glorious Mothers” and “Rational Women”: A Comparative Analysis of the Chinese and English Regulatory Models of Abortion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支持理论下民事诉讼当事人法律意识的实证研究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惩罚性赔偿消费公益诉讼研究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作为教学方法的法教义学：反思与扬弃</w:t>
            </w:r>
            <w:r>
              <w:rPr>
                <w:rFonts w:hint="eastAsia"/>
                <w:color w:val="000000"/>
                <w:sz w:val="24"/>
                <w:szCs w:val="24"/>
              </w:rPr>
              <w:t>——以案例教学和请求权基础理论为对象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论行政合同上的情势变更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  <w:szCs w:val="24"/>
              </w:rPr>
              <w:t>基于控权论立场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专利确权程序中功能性限定特征解释规则初探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民事二审使用独任制之理性思辨与进路探索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司法认知偏差与量化裁判中的锚定作用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刑事涉案财物保管与处置新制研究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财产性判项与减刑假释的联动机制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网络空间中犯罪帮助行为的类型化</w:t>
            </w:r>
            <w:r>
              <w:rPr>
                <w:rFonts w:hint="eastAsia"/>
                <w:color w:val="000000"/>
                <w:sz w:val="24"/>
                <w:szCs w:val="24"/>
              </w:rPr>
              <w:t>——来自司法判决的启发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刑事诉讼法时间效力规则研究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涉罪未成年人羁押率的实证考察与程序性控制路径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诉讼分流背景下刑事速裁程序评判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故意杀人罪死刑裁量机制的实证研究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兜底条款中同质性解释的适用困境与目的解释之补足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论追诉时效的溯及力及其限制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“犯罪所得投资收益”追缴的影响因素与判断规则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被告人身份差异对量刑的影响：基于1060份刑事判决的实证分析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论反科层的科层制</w:t>
            </w:r>
            <w:r>
              <w:rPr>
                <w:rFonts w:hint="eastAsia"/>
                <w:color w:val="000000"/>
                <w:sz w:val="24"/>
                <w:szCs w:val="24"/>
              </w:rPr>
              <w:t>——基于S市检察员额选任的实证分析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认罪认罚从宽中的特殊不起诉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跨境电子数据取证规则的反思与重构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刑事庭审实质化的维度与机制研究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入罪与出罪：我国《刑法》第13条的功能解构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共犯正犯化背景下的从属性困境及理论应对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法益自决权与侵犯公民个人信息罪的司法边界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环境法体系中的自然保护地立法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我国环境监管转型的制度逻辑</w:t>
            </w:r>
            <w:r>
              <w:rPr>
                <w:rFonts w:hint="eastAsia"/>
                <w:color w:val="000000"/>
                <w:sz w:val="24"/>
                <w:szCs w:val="24"/>
              </w:rPr>
              <w:t>——以环境法实施为中心的考察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“一带一路”倡议下外国法查明制度的完善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商主体资格形成机制的革新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绿色原则与法经济学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大数据的竞争法属性及规制意义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Towards State Avoidance of Conflicts between the SPS Agreement and the Cartagena Protocol on Biosafety:A Fresh Perspective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优先股与普通股的利益分配</w:t>
            </w:r>
            <w:r>
              <w:rPr>
                <w:rFonts w:hint="eastAsia"/>
                <w:color w:val="000000"/>
                <w:sz w:val="24"/>
                <w:szCs w:val="24"/>
              </w:rPr>
              <w:t>——基于信义义务的制度方法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资产管理内部法律关系的定性：回顾与前瞻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认缴制后公司法资本规则的革新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Challenges and Opportunities for the China International Commercial 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组织法视阈中的公司决议及其法律适用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中国大陆任意拍卖法律关系的构成与解释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  <w:szCs w:val="24"/>
              </w:rPr>
              <w:t>兼论代理公开原则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中国司法的经验与智慧：指导性案例中法律方法的运用实践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法治评估与法治大数据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禁止歧视：理念、制度和实践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清代蒙古地区法律适用的研究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中国古代邪教的形态与治理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上升阶梯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  <w:szCs w:val="24"/>
              </w:rPr>
              <w:t>列奥·施特劳斯关于自然法论的思索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行政规则的司法审查强度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  <w:r>
              <w:rPr>
                <w:rFonts w:hint="eastAsia"/>
                <w:sz w:val="24"/>
                <w:szCs w:val="24"/>
              </w:rPr>
              <w:t>基于法律效力的区分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我国警察事权划分问题研究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走向“理由之治”：行政说明理由制度之透视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基于协商行政的自愿性环境协议研究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私法的基础：从个人主义走向合作主义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中国农村土地物权制度研究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独立保函的时代演进与制度发展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甘肃姚村调查</w:t>
            </w:r>
            <w:r>
              <w:rPr>
                <w:rFonts w:hint="eastAsia"/>
                <w:color w:val="000000"/>
                <w:sz w:val="24"/>
                <w:szCs w:val="24"/>
              </w:rPr>
              <w:t>——社会网络视角下一个村落的生育变迁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集体土地用益物权农户主体问题研究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论民法教义体系与家庭法的对立与融合：现代家庭法的谱系生成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中国特色前科消灭制度构建研究</w:t>
            </w:r>
            <w:r>
              <w:rPr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论不能未遂的可罚性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减刑适用实质要件研究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刑法归责原理的规范化展开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证据法的理论面孔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共犯从属性研究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环境污染罪的客观归责研究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刑事涉案财物处置程序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保险法约定行为义务制度构造论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当代中国慈善法制研究：困境与反思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竞争视角下的非合意并购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台湾地区涉陆区私法问题实证研究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界定公海保护区的国际法概念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国际农产品公平贸易法律治理研究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744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商业行规法律适用的实证研究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8B"/>
    <w:rsid w:val="00037EF0"/>
    <w:rsid w:val="000674BC"/>
    <w:rsid w:val="00085146"/>
    <w:rsid w:val="000C1578"/>
    <w:rsid w:val="000C2663"/>
    <w:rsid w:val="00184561"/>
    <w:rsid w:val="00196553"/>
    <w:rsid w:val="001C33D4"/>
    <w:rsid w:val="001C5FE0"/>
    <w:rsid w:val="0020226C"/>
    <w:rsid w:val="002059DC"/>
    <w:rsid w:val="00236711"/>
    <w:rsid w:val="002B28C9"/>
    <w:rsid w:val="002B56DA"/>
    <w:rsid w:val="002E459F"/>
    <w:rsid w:val="002F1092"/>
    <w:rsid w:val="0031361F"/>
    <w:rsid w:val="00335CF3"/>
    <w:rsid w:val="003777D2"/>
    <w:rsid w:val="003C628A"/>
    <w:rsid w:val="00437A84"/>
    <w:rsid w:val="00461E14"/>
    <w:rsid w:val="0059138A"/>
    <w:rsid w:val="005B7C4A"/>
    <w:rsid w:val="00606F01"/>
    <w:rsid w:val="006137A8"/>
    <w:rsid w:val="006C23E1"/>
    <w:rsid w:val="007672F3"/>
    <w:rsid w:val="007D035E"/>
    <w:rsid w:val="008B20DB"/>
    <w:rsid w:val="0094439C"/>
    <w:rsid w:val="009673CB"/>
    <w:rsid w:val="00982B8B"/>
    <w:rsid w:val="009B4CA9"/>
    <w:rsid w:val="00AD29AA"/>
    <w:rsid w:val="00BC1EAA"/>
    <w:rsid w:val="00C33798"/>
    <w:rsid w:val="00CF2CCC"/>
    <w:rsid w:val="00D00A86"/>
    <w:rsid w:val="00D30B81"/>
    <w:rsid w:val="00D41732"/>
    <w:rsid w:val="00E150E0"/>
    <w:rsid w:val="00E317C7"/>
    <w:rsid w:val="00E31ADD"/>
    <w:rsid w:val="00E50AE1"/>
    <w:rsid w:val="01AE4B8A"/>
    <w:rsid w:val="0AE6425B"/>
    <w:rsid w:val="519807C2"/>
    <w:rsid w:val="682124E7"/>
    <w:rsid w:val="691B68D3"/>
    <w:rsid w:val="6AF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List"/>
    <w:basedOn w:val="5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9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DA502-F320-4D46-BCAA-F3B6F08202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373</Words>
  <Characters>2128</Characters>
  <Lines>17</Lines>
  <Paragraphs>4</Paragraphs>
  <TotalTime>16</TotalTime>
  <ScaleCrop>false</ScaleCrop>
  <LinksUpToDate>false</LinksUpToDate>
  <CharactersWithSpaces>2497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2019-09-19T10:02:00Z</dcterms:created>
  <dc:creator>2201-192</dc:creator>
  <cp:lastModifiedBy>2217-32</cp:lastModifiedBy>
  <cp:lastPrinted>2020-09-06T05:59:34Z</cp:lastPrinted>
  <dcterms:modified xsi:type="dcterms:W3CDTF">2020-09-06T06:11:57Z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