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22F" w:rsidRDefault="00B2722F" w:rsidP="00B2722F">
      <w:pPr>
        <w:autoSpaceDE w:val="0"/>
        <w:spacing w:line="560" w:lineRule="exact"/>
        <w:rPr>
          <w:rFonts w:ascii="Times New Roman" w:eastAsia="黑体" w:hAnsi="Times New Roman"/>
          <w:sz w:val="32"/>
          <w:szCs w:val="32"/>
        </w:rPr>
      </w:pPr>
      <w:r>
        <w:rPr>
          <w:rFonts w:ascii="黑体" w:eastAsia="黑体" w:hAnsi="宋体" w:cs="黑体"/>
          <w:sz w:val="32"/>
          <w:szCs w:val="32"/>
          <w:lang w:bidi="ar"/>
        </w:rPr>
        <w:t>附件</w:t>
      </w:r>
      <w:r>
        <w:rPr>
          <w:rFonts w:ascii="Times New Roman" w:eastAsia="黑体" w:hAnsi="Times New Roman"/>
          <w:sz w:val="32"/>
          <w:szCs w:val="32"/>
          <w:lang w:bidi="ar"/>
        </w:rPr>
        <w:t>1</w:t>
      </w:r>
    </w:p>
    <w:p w:rsidR="00B2722F" w:rsidRDefault="00B2722F" w:rsidP="00B2722F">
      <w:pPr>
        <w:pStyle w:val="2"/>
        <w:autoSpaceDE w:val="0"/>
      </w:pPr>
      <w:r>
        <w:rPr>
          <w:rFonts w:ascii="Times New Roman" w:hAnsi="Times New Roman"/>
        </w:rPr>
        <w:t xml:space="preserve"> </w:t>
      </w:r>
    </w:p>
    <w:p w:rsidR="00B2722F" w:rsidRDefault="00B2722F" w:rsidP="00B2722F">
      <w:pPr>
        <w:autoSpaceDE w:val="0"/>
        <w:spacing w:line="560" w:lineRule="exact"/>
        <w:jc w:val="center"/>
        <w:rPr>
          <w:rFonts w:ascii="Times New Roman" w:eastAsia="小标宋" w:hAnsi="Times New Roman"/>
          <w:sz w:val="44"/>
          <w:szCs w:val="44"/>
        </w:rPr>
      </w:pPr>
      <w:r>
        <w:rPr>
          <w:rFonts w:ascii="小标宋" w:eastAsia="小标宋" w:hAnsi="小标宋" w:cs="小标宋" w:hint="eastAsia"/>
          <w:sz w:val="44"/>
          <w:szCs w:val="44"/>
          <w:lang w:bidi="ar"/>
        </w:rPr>
        <w:t>广州市法学会</w:t>
      </w:r>
      <w:r>
        <w:rPr>
          <w:rFonts w:ascii="Times New Roman" w:eastAsia="小标宋" w:hAnsi="Times New Roman"/>
          <w:sz w:val="44"/>
          <w:szCs w:val="44"/>
          <w:lang w:bidi="ar"/>
        </w:rPr>
        <w:t>2026</w:t>
      </w:r>
      <w:r>
        <w:rPr>
          <w:rFonts w:ascii="小标宋" w:eastAsia="小标宋" w:hAnsi="小标宋" w:cs="小标宋" w:hint="eastAsia"/>
          <w:sz w:val="44"/>
          <w:szCs w:val="44"/>
          <w:lang w:bidi="ar"/>
        </w:rPr>
        <w:t>年度</w:t>
      </w:r>
    </w:p>
    <w:p w:rsidR="00B2722F" w:rsidRDefault="00B2722F" w:rsidP="00B2722F">
      <w:pPr>
        <w:autoSpaceDE w:val="0"/>
        <w:spacing w:line="560" w:lineRule="exact"/>
        <w:jc w:val="center"/>
        <w:rPr>
          <w:rFonts w:ascii="Times New Roman" w:eastAsia="小标宋" w:hAnsi="Times New Roman"/>
          <w:sz w:val="44"/>
          <w:szCs w:val="44"/>
        </w:rPr>
      </w:pPr>
      <w:r>
        <w:rPr>
          <w:rFonts w:ascii="小标宋" w:eastAsia="小标宋" w:hAnsi="小标宋" w:cs="小标宋" w:hint="eastAsia"/>
          <w:sz w:val="44"/>
          <w:szCs w:val="44"/>
          <w:lang w:bidi="ar"/>
        </w:rPr>
        <w:t>法学</w:t>
      </w:r>
      <w:proofErr w:type="gramStart"/>
      <w:r>
        <w:rPr>
          <w:rFonts w:ascii="小标宋" w:eastAsia="小标宋" w:hAnsi="小标宋" w:cs="小标宋" w:hint="eastAsia"/>
          <w:sz w:val="44"/>
          <w:szCs w:val="44"/>
          <w:lang w:bidi="ar"/>
        </w:rPr>
        <w:t>一般课题</w:t>
      </w:r>
      <w:proofErr w:type="gramEnd"/>
      <w:r>
        <w:rPr>
          <w:rFonts w:ascii="小标宋" w:eastAsia="小标宋" w:hAnsi="小标宋" w:cs="小标宋" w:hint="eastAsia"/>
          <w:sz w:val="44"/>
          <w:szCs w:val="44"/>
          <w:lang w:bidi="ar"/>
        </w:rPr>
        <w:t>研究指南</w:t>
      </w:r>
    </w:p>
    <w:p w:rsidR="00B2722F" w:rsidRDefault="00B2722F" w:rsidP="00B2722F">
      <w:pPr>
        <w:pStyle w:val="2"/>
        <w:autoSpaceDE w:val="0"/>
        <w:rPr>
          <w:rFonts w:ascii="Times New Roman" w:hAnsi="Times New Roman"/>
        </w:rPr>
      </w:pPr>
      <w:r>
        <w:rPr>
          <w:rFonts w:ascii="Times New Roman" w:hAnsi="Times New Roman"/>
        </w:rPr>
        <w:t xml:space="preserve"> </w:t>
      </w:r>
    </w:p>
    <w:p w:rsidR="00B2722F" w:rsidRDefault="00B2722F" w:rsidP="00B2722F">
      <w:pPr>
        <w:pStyle w:val="2"/>
        <w:autoSpaceDE w:val="0"/>
        <w:ind w:firstLineChars="200" w:firstLine="643"/>
        <w:rPr>
          <w:rFonts w:ascii="Times New Roman" w:hAnsi="Times New Roman"/>
          <w:sz w:val="32"/>
          <w:szCs w:val="32"/>
        </w:rPr>
      </w:pPr>
      <w:r>
        <w:rPr>
          <w:rFonts w:ascii="黑体" w:hAnsi="宋体" w:cs="黑体"/>
          <w:sz w:val="32"/>
          <w:szCs w:val="32"/>
        </w:rPr>
        <w:t>一、广州</w:t>
      </w:r>
      <w:r>
        <w:rPr>
          <w:rFonts w:ascii="Times New Roman" w:hAnsi="Times New Roman"/>
          <w:sz w:val="32"/>
          <w:szCs w:val="32"/>
        </w:rPr>
        <w:t>L4</w:t>
      </w:r>
      <w:r>
        <w:rPr>
          <w:rFonts w:ascii="黑体" w:hAnsi="宋体" w:cs="黑体"/>
          <w:sz w:val="32"/>
          <w:szCs w:val="32"/>
        </w:rPr>
        <w:t>级别智能网联汽车示范活动中的法律难点及对策研究</w:t>
      </w:r>
    </w:p>
    <w:p w:rsidR="00B2722F" w:rsidRDefault="00B2722F" w:rsidP="00B2722F">
      <w:pPr>
        <w:autoSpaceDE w:val="0"/>
        <w:spacing w:line="560" w:lineRule="exact"/>
        <w:ind w:firstLineChars="200" w:firstLine="643"/>
        <w:rPr>
          <w:rFonts w:ascii="Times New Roman" w:eastAsia="仿宋_GB2312" w:hAnsi="Times New Roman"/>
          <w:sz w:val="32"/>
          <w:szCs w:val="32"/>
        </w:rPr>
      </w:pPr>
      <w:r>
        <w:rPr>
          <w:rFonts w:ascii="仿宋_GB2312" w:eastAsia="仿宋_GB2312" w:hAnsi="Times New Roman" w:cs="仿宋_GB2312" w:hint="eastAsia"/>
          <w:b/>
          <w:sz w:val="32"/>
          <w:szCs w:val="32"/>
          <w:lang w:bidi="ar"/>
        </w:rPr>
        <w:t>选题建议：</w:t>
      </w:r>
      <w:r>
        <w:rPr>
          <w:rFonts w:ascii="Times New Roman" w:eastAsia="仿宋_GB2312" w:hAnsi="Times New Roman" w:hint="eastAsia"/>
          <w:sz w:val="32"/>
          <w:szCs w:val="32"/>
          <w:lang w:bidi="ar"/>
        </w:rPr>
        <w:t>围绕</w:t>
      </w:r>
      <w:r>
        <w:rPr>
          <w:rFonts w:ascii="Times New Roman" w:eastAsia="仿宋_GB2312" w:hAnsi="Times New Roman"/>
          <w:sz w:val="32"/>
          <w:szCs w:val="32"/>
          <w:lang w:bidi="ar"/>
        </w:rPr>
        <w:t>L4</w:t>
      </w:r>
      <w:r>
        <w:rPr>
          <w:rFonts w:ascii="仿宋_GB2312" w:eastAsia="仿宋_GB2312" w:hAnsi="Times New Roman" w:cs="仿宋_GB2312" w:hint="eastAsia"/>
          <w:sz w:val="32"/>
          <w:szCs w:val="32"/>
          <w:lang w:bidi="ar"/>
        </w:rPr>
        <w:t>级别智能网联汽车示范活动中</w:t>
      </w:r>
      <w:r>
        <w:rPr>
          <w:rFonts w:ascii="Times New Roman" w:eastAsia="仿宋_GB2312" w:hAnsi="Times New Roman" w:hint="eastAsia"/>
          <w:sz w:val="32"/>
          <w:szCs w:val="32"/>
          <w:lang w:bidi="ar"/>
        </w:rPr>
        <w:t>涉及的</w:t>
      </w:r>
      <w:r>
        <w:rPr>
          <w:rFonts w:ascii="仿宋_GB2312" w:eastAsia="仿宋_GB2312" w:hAnsi="Times New Roman" w:cs="仿宋_GB2312" w:hint="eastAsia"/>
          <w:sz w:val="32"/>
          <w:szCs w:val="32"/>
          <w:lang w:bidi="ar"/>
        </w:rPr>
        <w:t>数据存储</w:t>
      </w:r>
      <w:r>
        <w:rPr>
          <w:rFonts w:ascii="Times New Roman" w:eastAsia="仿宋_GB2312" w:hAnsi="Times New Roman" w:hint="eastAsia"/>
          <w:sz w:val="32"/>
          <w:szCs w:val="32"/>
          <w:lang w:bidi="ar"/>
        </w:rPr>
        <w:t>规范、交通事故责任划分、技术调查官制度、知识产权案件举证责任分配、训练及运营数据收集和出境、</w:t>
      </w:r>
      <w:r>
        <w:rPr>
          <w:rFonts w:ascii="仿宋_GB2312" w:eastAsia="仿宋_GB2312" w:hAnsi="Times New Roman" w:cs="仿宋_GB2312" w:hint="eastAsia"/>
          <w:sz w:val="32"/>
          <w:szCs w:val="32"/>
          <w:lang w:bidi="ar"/>
        </w:rPr>
        <w:t>算法透明度要求、</w:t>
      </w:r>
      <w:r>
        <w:rPr>
          <w:rFonts w:ascii="Times New Roman" w:eastAsia="仿宋_GB2312" w:hAnsi="Times New Roman" w:hint="eastAsia"/>
          <w:sz w:val="32"/>
          <w:szCs w:val="32"/>
          <w:lang w:bidi="ar"/>
        </w:rPr>
        <w:t>网络侵权纠纷化解、诉讼保全、行刑衔接等方面</w:t>
      </w:r>
      <w:r>
        <w:rPr>
          <w:rFonts w:ascii="仿宋_GB2312" w:eastAsia="仿宋_GB2312" w:hAnsi="Times New Roman" w:cs="仿宋_GB2312" w:hint="eastAsia"/>
          <w:sz w:val="32"/>
          <w:szCs w:val="32"/>
          <w:lang w:bidi="ar"/>
        </w:rPr>
        <w:t>开展具体研究。研究需</w:t>
      </w:r>
      <w:r>
        <w:rPr>
          <w:rFonts w:ascii="Times New Roman" w:eastAsia="仿宋_GB2312" w:hAnsi="Times New Roman" w:hint="eastAsia"/>
          <w:sz w:val="32"/>
          <w:szCs w:val="32"/>
          <w:lang w:bidi="ar"/>
        </w:rPr>
        <w:t>紧密</w:t>
      </w:r>
      <w:r>
        <w:rPr>
          <w:rFonts w:ascii="仿宋_GB2312" w:eastAsia="仿宋_GB2312" w:hAnsi="Times New Roman" w:cs="仿宋_GB2312" w:hint="eastAsia"/>
          <w:sz w:val="32"/>
          <w:szCs w:val="32"/>
          <w:lang w:bidi="ar"/>
        </w:rPr>
        <w:t>结合</w:t>
      </w:r>
      <w:r>
        <w:rPr>
          <w:rFonts w:ascii="Times New Roman" w:eastAsia="仿宋_GB2312" w:hAnsi="Times New Roman" w:hint="eastAsia"/>
          <w:sz w:val="32"/>
          <w:szCs w:val="32"/>
          <w:lang w:bidi="ar"/>
        </w:rPr>
        <w:t>广州</w:t>
      </w:r>
      <w:r>
        <w:rPr>
          <w:rFonts w:ascii="仿宋_GB2312" w:eastAsia="仿宋_GB2312" w:hAnsi="Times New Roman" w:cs="仿宋_GB2312" w:hint="eastAsia"/>
          <w:sz w:val="32"/>
          <w:szCs w:val="32"/>
          <w:lang w:bidi="ar"/>
        </w:rPr>
        <w:t>实践，</w:t>
      </w:r>
      <w:r>
        <w:rPr>
          <w:rFonts w:ascii="Times New Roman" w:eastAsia="仿宋_GB2312" w:hAnsi="Times New Roman" w:hint="eastAsia"/>
          <w:sz w:val="32"/>
          <w:szCs w:val="32"/>
          <w:lang w:bidi="ar"/>
        </w:rPr>
        <w:t>提出针对性的对策建议</w:t>
      </w:r>
      <w:r>
        <w:rPr>
          <w:rFonts w:ascii="仿宋_GB2312" w:eastAsia="仿宋_GB2312" w:hAnsi="Times New Roman" w:cs="仿宋_GB2312" w:hint="eastAsia"/>
          <w:sz w:val="32"/>
          <w:szCs w:val="32"/>
          <w:lang w:bidi="ar"/>
        </w:rPr>
        <w:t>。</w:t>
      </w:r>
      <w:r>
        <w:rPr>
          <w:rFonts w:ascii="Times New Roman" w:eastAsia="仿宋_GB2312" w:hAnsi="Times New Roman" w:hint="eastAsia"/>
          <w:sz w:val="32"/>
          <w:szCs w:val="32"/>
          <w:lang w:bidi="ar"/>
        </w:rPr>
        <w:t>可比较分析北京、上海、深圳、武汉等相关地方法规的</w:t>
      </w:r>
      <w:r>
        <w:rPr>
          <w:rFonts w:ascii="仿宋_GB2312" w:eastAsia="仿宋_GB2312" w:hAnsi="Times New Roman" w:cs="仿宋_GB2312" w:hint="eastAsia"/>
          <w:sz w:val="32"/>
          <w:szCs w:val="32"/>
          <w:lang w:bidi="ar"/>
        </w:rPr>
        <w:t>实施效果</w:t>
      </w:r>
      <w:r>
        <w:rPr>
          <w:rFonts w:ascii="Times New Roman" w:eastAsia="仿宋_GB2312" w:hAnsi="Times New Roman" w:hint="eastAsia"/>
          <w:sz w:val="32"/>
          <w:szCs w:val="32"/>
          <w:lang w:bidi="ar"/>
        </w:rPr>
        <w:t>。</w:t>
      </w:r>
    </w:p>
    <w:p w:rsidR="00B2722F" w:rsidRDefault="00B2722F" w:rsidP="00B2722F">
      <w:pPr>
        <w:autoSpaceDE w:val="0"/>
        <w:spacing w:line="560" w:lineRule="exact"/>
        <w:ind w:firstLineChars="200" w:firstLine="643"/>
        <w:rPr>
          <w:rFonts w:ascii="Times New Roman" w:eastAsia="仿宋_GB2312" w:hAnsi="Times New Roman"/>
          <w:b/>
          <w:sz w:val="32"/>
          <w:szCs w:val="32"/>
        </w:rPr>
      </w:pPr>
      <w:r>
        <w:rPr>
          <w:rFonts w:ascii="仿宋_GB2312" w:eastAsia="仿宋_GB2312" w:hAnsi="Times New Roman" w:cs="仿宋_GB2312" w:hint="eastAsia"/>
          <w:b/>
          <w:sz w:val="32"/>
          <w:szCs w:val="32"/>
          <w:lang w:bidi="ar"/>
        </w:rPr>
        <w:t>研究意义：</w:t>
      </w:r>
      <w:r>
        <w:rPr>
          <w:rFonts w:ascii="仿宋_GB2312" w:eastAsia="仿宋_GB2312" w:hAnsi="Times New Roman" w:cs="仿宋_GB2312" w:hint="eastAsia"/>
          <w:sz w:val="32"/>
          <w:szCs w:val="32"/>
          <w:lang w:bidi="ar"/>
        </w:rPr>
        <w:t>本选题紧扣</w:t>
      </w:r>
      <w:r>
        <w:rPr>
          <w:rFonts w:ascii="Times New Roman" w:eastAsia="仿宋_GB2312" w:hAnsi="Times New Roman"/>
          <w:sz w:val="32"/>
          <w:szCs w:val="32"/>
          <w:lang w:bidi="ar"/>
        </w:rPr>
        <w:t>L4</w:t>
      </w:r>
      <w:r>
        <w:rPr>
          <w:rFonts w:ascii="仿宋_GB2312" w:eastAsia="仿宋_GB2312" w:hAnsi="Times New Roman" w:cs="仿宋_GB2312" w:hint="eastAsia"/>
          <w:sz w:val="32"/>
          <w:szCs w:val="32"/>
          <w:lang w:bidi="ar"/>
        </w:rPr>
        <w:t>级别智能网联汽车示范活动可能遇到的法治难点，聚焦事故责任认定与纠纷解决以及数据流动使用等核心问题，破解人机权责划分、归</w:t>
      </w:r>
      <w:proofErr w:type="gramStart"/>
      <w:r>
        <w:rPr>
          <w:rFonts w:ascii="仿宋_GB2312" w:eastAsia="仿宋_GB2312" w:hAnsi="Times New Roman" w:cs="仿宋_GB2312" w:hint="eastAsia"/>
          <w:sz w:val="32"/>
          <w:szCs w:val="32"/>
          <w:lang w:bidi="ar"/>
        </w:rPr>
        <w:t>责主体</w:t>
      </w:r>
      <w:proofErr w:type="gramEnd"/>
      <w:r>
        <w:rPr>
          <w:rFonts w:ascii="仿宋_GB2312" w:eastAsia="仿宋_GB2312" w:hAnsi="Times New Roman" w:cs="仿宋_GB2312" w:hint="eastAsia"/>
          <w:sz w:val="32"/>
          <w:szCs w:val="32"/>
          <w:lang w:bidi="ar"/>
        </w:rPr>
        <w:t>界定等法律空白。研究成果可明确市场化运营中的法律责任边界，完善纠纷解决实操路径，为广州</w:t>
      </w:r>
      <w:r>
        <w:rPr>
          <w:rFonts w:ascii="Times New Roman" w:eastAsia="仿宋_GB2312" w:hAnsi="Times New Roman"/>
          <w:sz w:val="32"/>
          <w:szCs w:val="32"/>
          <w:lang w:bidi="ar"/>
        </w:rPr>
        <w:t>L4</w:t>
      </w:r>
      <w:r>
        <w:rPr>
          <w:rFonts w:ascii="仿宋_GB2312" w:eastAsia="仿宋_GB2312" w:hAnsi="Times New Roman" w:cs="仿宋_GB2312" w:hint="eastAsia"/>
          <w:sz w:val="32"/>
          <w:szCs w:val="32"/>
          <w:lang w:bidi="ar"/>
        </w:rPr>
        <w:t>级别智能驾驶车辆规模化应用提供法治指引，同时为全国智能驾驶城市级运营积累实践经验，赋能智能网联汽车产业健康发展。</w:t>
      </w:r>
    </w:p>
    <w:p w:rsidR="00B2722F" w:rsidRDefault="00B2722F" w:rsidP="00B2722F">
      <w:pPr>
        <w:pStyle w:val="2"/>
        <w:autoSpaceDE w:val="0"/>
        <w:ind w:firstLineChars="200" w:firstLine="643"/>
        <w:rPr>
          <w:rFonts w:ascii="Times New Roman" w:hAnsi="Times New Roman"/>
          <w:sz w:val="32"/>
          <w:szCs w:val="32"/>
        </w:rPr>
      </w:pPr>
      <w:r>
        <w:rPr>
          <w:rFonts w:ascii="黑体" w:hAnsi="宋体" w:cs="黑体"/>
          <w:sz w:val="32"/>
          <w:szCs w:val="32"/>
        </w:rPr>
        <w:lastRenderedPageBreak/>
        <w:t>二、针对中小企业的</w:t>
      </w:r>
      <w:r>
        <w:rPr>
          <w:rFonts w:ascii="Times New Roman" w:hAnsi="Times New Roman"/>
          <w:sz w:val="32"/>
          <w:szCs w:val="32"/>
        </w:rPr>
        <w:t>低成本</w:t>
      </w:r>
      <w:r>
        <w:rPr>
          <w:rFonts w:ascii="黑体" w:hAnsi="宋体" w:cs="黑体"/>
          <w:sz w:val="32"/>
          <w:szCs w:val="32"/>
        </w:rPr>
        <w:t>、</w:t>
      </w:r>
      <w:r>
        <w:rPr>
          <w:rFonts w:ascii="Times New Roman" w:hAnsi="Times New Roman"/>
          <w:sz w:val="32"/>
          <w:szCs w:val="32"/>
        </w:rPr>
        <w:t>高效、</w:t>
      </w:r>
      <w:r>
        <w:rPr>
          <w:rFonts w:ascii="黑体" w:hAnsi="宋体" w:cs="黑体"/>
          <w:sz w:val="32"/>
          <w:szCs w:val="32"/>
        </w:rPr>
        <w:t>便捷法律服务供给体系建设路径研究</w:t>
      </w:r>
    </w:p>
    <w:p w:rsidR="00B2722F" w:rsidRDefault="00B2722F" w:rsidP="00B2722F">
      <w:pPr>
        <w:pStyle w:val="a3"/>
        <w:widowControl/>
        <w:autoSpaceDE w:val="0"/>
        <w:spacing w:beforeAutospacing="0" w:afterAutospacing="0" w:line="560" w:lineRule="exact"/>
        <w:ind w:firstLineChars="200" w:firstLine="643"/>
        <w:rPr>
          <w:rFonts w:ascii="Times New Roman" w:eastAsia="仿宋_GB2312" w:hAnsi="Times New Roman"/>
          <w:b/>
          <w:kern w:val="2"/>
          <w:sz w:val="32"/>
          <w:szCs w:val="32"/>
        </w:rPr>
      </w:pPr>
      <w:r>
        <w:rPr>
          <w:rFonts w:ascii="仿宋_GB2312" w:eastAsia="仿宋_GB2312" w:hAnsi="Times New Roman" w:cs="仿宋_GB2312" w:hint="eastAsia"/>
          <w:b/>
          <w:kern w:val="2"/>
          <w:sz w:val="32"/>
          <w:szCs w:val="32"/>
          <w:lang w:bidi="ar"/>
        </w:rPr>
        <w:t>选题建议：</w:t>
      </w:r>
      <w:r>
        <w:rPr>
          <w:rFonts w:ascii="Times New Roman" w:eastAsia="仿宋_GB2312" w:hAnsi="Times New Roman" w:hint="eastAsia"/>
          <w:kern w:val="2"/>
          <w:sz w:val="32"/>
          <w:szCs w:val="32"/>
          <w:lang w:bidi="ar"/>
        </w:rPr>
        <w:t>聚焦</w:t>
      </w:r>
      <w:r>
        <w:rPr>
          <w:rFonts w:ascii="仿宋_GB2312" w:eastAsia="仿宋_GB2312" w:hAnsi="Times New Roman" w:cs="仿宋_GB2312" w:hint="eastAsia"/>
          <w:kern w:val="2"/>
          <w:sz w:val="32"/>
          <w:szCs w:val="32"/>
          <w:lang w:bidi="ar"/>
        </w:rPr>
        <w:t>合</w:t>
      </w:r>
      <w:proofErr w:type="gramStart"/>
      <w:r>
        <w:rPr>
          <w:rFonts w:ascii="仿宋_GB2312" w:eastAsia="仿宋_GB2312" w:hAnsi="Times New Roman" w:cs="仿宋_GB2312" w:hint="eastAsia"/>
          <w:kern w:val="2"/>
          <w:sz w:val="32"/>
          <w:szCs w:val="32"/>
          <w:lang w:bidi="ar"/>
        </w:rPr>
        <w:t>规</w:t>
      </w:r>
      <w:proofErr w:type="gramEnd"/>
      <w:r>
        <w:rPr>
          <w:rFonts w:ascii="Times New Roman" w:eastAsia="仿宋_GB2312" w:hAnsi="Times New Roman" w:hint="eastAsia"/>
          <w:kern w:val="2"/>
          <w:sz w:val="32"/>
          <w:szCs w:val="32"/>
          <w:lang w:bidi="ar"/>
        </w:rPr>
        <w:t>要求高与</w:t>
      </w:r>
      <w:r>
        <w:rPr>
          <w:rFonts w:ascii="仿宋_GB2312" w:eastAsia="仿宋_GB2312" w:hAnsi="Times New Roman" w:cs="仿宋_GB2312" w:hint="eastAsia"/>
          <w:kern w:val="2"/>
          <w:sz w:val="32"/>
          <w:szCs w:val="32"/>
          <w:lang w:bidi="ar"/>
        </w:rPr>
        <w:t>中小</w:t>
      </w:r>
      <w:r>
        <w:rPr>
          <w:rFonts w:ascii="Times New Roman" w:eastAsia="仿宋_GB2312" w:hAnsi="Times New Roman" w:hint="eastAsia"/>
          <w:kern w:val="2"/>
          <w:sz w:val="32"/>
          <w:szCs w:val="32"/>
          <w:lang w:bidi="ar"/>
        </w:rPr>
        <w:t>企业</w:t>
      </w:r>
      <w:r>
        <w:rPr>
          <w:rFonts w:ascii="仿宋_GB2312" w:eastAsia="仿宋_GB2312" w:hAnsi="Times New Roman" w:cs="仿宋_GB2312" w:hint="eastAsia"/>
          <w:kern w:val="2"/>
          <w:sz w:val="32"/>
          <w:szCs w:val="32"/>
          <w:lang w:bidi="ar"/>
        </w:rPr>
        <w:t>经营成本</w:t>
      </w:r>
      <w:r>
        <w:rPr>
          <w:rFonts w:ascii="Times New Roman" w:eastAsia="仿宋_GB2312" w:hAnsi="Times New Roman" w:hint="eastAsia"/>
          <w:kern w:val="2"/>
          <w:sz w:val="32"/>
          <w:szCs w:val="32"/>
          <w:lang w:bidi="ar"/>
        </w:rPr>
        <w:t>压力大之间的现实矛盾</w:t>
      </w:r>
      <w:r>
        <w:rPr>
          <w:rFonts w:ascii="仿宋_GB2312" w:eastAsia="仿宋_GB2312" w:hAnsi="Times New Roman" w:cs="仿宋_GB2312" w:hint="eastAsia"/>
          <w:kern w:val="2"/>
          <w:sz w:val="32"/>
          <w:szCs w:val="32"/>
          <w:lang w:bidi="ar"/>
        </w:rPr>
        <w:t>，</w:t>
      </w:r>
      <w:r>
        <w:rPr>
          <w:rFonts w:ascii="Times New Roman" w:eastAsia="仿宋_GB2312" w:hAnsi="Times New Roman" w:hint="eastAsia"/>
          <w:kern w:val="2"/>
          <w:sz w:val="32"/>
          <w:szCs w:val="32"/>
          <w:lang w:bidi="ar"/>
        </w:rPr>
        <w:t>借鉴外地市相关经验做法，结合广州本地实际，创新提出针对中小企业的低成本、高效、便捷法律服务供给体系建设路径。可细化合</w:t>
      </w:r>
      <w:proofErr w:type="gramStart"/>
      <w:r>
        <w:rPr>
          <w:rFonts w:ascii="Times New Roman" w:eastAsia="仿宋_GB2312" w:hAnsi="Times New Roman" w:hint="eastAsia"/>
          <w:kern w:val="2"/>
          <w:sz w:val="32"/>
          <w:szCs w:val="32"/>
          <w:lang w:bidi="ar"/>
        </w:rPr>
        <w:t>规</w:t>
      </w:r>
      <w:proofErr w:type="gramEnd"/>
      <w:r>
        <w:rPr>
          <w:rFonts w:ascii="Times New Roman" w:eastAsia="仿宋_GB2312" w:hAnsi="Times New Roman" w:hint="eastAsia"/>
          <w:kern w:val="2"/>
          <w:sz w:val="32"/>
          <w:szCs w:val="32"/>
          <w:lang w:bidi="ar"/>
        </w:rPr>
        <w:t>成本测算模型，</w:t>
      </w:r>
      <w:r>
        <w:rPr>
          <w:rFonts w:ascii="仿宋_GB2312" w:eastAsia="仿宋_GB2312" w:hAnsi="Times New Roman" w:cs="仿宋_GB2312" w:hint="eastAsia"/>
          <w:kern w:val="2"/>
          <w:sz w:val="32"/>
          <w:szCs w:val="32"/>
          <w:lang w:bidi="ar"/>
        </w:rPr>
        <w:t>探讨合</w:t>
      </w:r>
      <w:proofErr w:type="gramStart"/>
      <w:r>
        <w:rPr>
          <w:rFonts w:ascii="仿宋_GB2312" w:eastAsia="仿宋_GB2312" w:hAnsi="Times New Roman" w:cs="仿宋_GB2312" w:hint="eastAsia"/>
          <w:kern w:val="2"/>
          <w:sz w:val="32"/>
          <w:szCs w:val="32"/>
          <w:lang w:bidi="ar"/>
        </w:rPr>
        <w:t>规</w:t>
      </w:r>
      <w:proofErr w:type="gramEnd"/>
      <w:r>
        <w:rPr>
          <w:rFonts w:ascii="仿宋_GB2312" w:eastAsia="仿宋_GB2312" w:hAnsi="Times New Roman" w:cs="仿宋_GB2312" w:hint="eastAsia"/>
          <w:kern w:val="2"/>
          <w:sz w:val="32"/>
          <w:szCs w:val="32"/>
          <w:lang w:bidi="ar"/>
        </w:rPr>
        <w:t>责任与合</w:t>
      </w:r>
      <w:proofErr w:type="gramStart"/>
      <w:r>
        <w:rPr>
          <w:rFonts w:ascii="仿宋_GB2312" w:eastAsia="仿宋_GB2312" w:hAnsi="Times New Roman" w:cs="仿宋_GB2312" w:hint="eastAsia"/>
          <w:kern w:val="2"/>
          <w:sz w:val="32"/>
          <w:szCs w:val="32"/>
          <w:lang w:bidi="ar"/>
        </w:rPr>
        <w:t>规</w:t>
      </w:r>
      <w:proofErr w:type="gramEnd"/>
      <w:r>
        <w:rPr>
          <w:rFonts w:ascii="仿宋_GB2312" w:eastAsia="仿宋_GB2312" w:hAnsi="Times New Roman" w:cs="仿宋_GB2312" w:hint="eastAsia"/>
          <w:kern w:val="2"/>
          <w:sz w:val="32"/>
          <w:szCs w:val="32"/>
          <w:lang w:bidi="ar"/>
        </w:rPr>
        <w:t>负担之间的平衡关系</w:t>
      </w:r>
      <w:r>
        <w:rPr>
          <w:rFonts w:ascii="Times New Roman" w:eastAsia="仿宋_GB2312" w:hAnsi="Times New Roman" w:hint="eastAsia"/>
          <w:kern w:val="2"/>
          <w:sz w:val="32"/>
          <w:szCs w:val="32"/>
          <w:lang w:bidi="ar"/>
        </w:rPr>
        <w:t>，</w:t>
      </w:r>
      <w:r>
        <w:rPr>
          <w:rFonts w:ascii="仿宋_GB2312" w:eastAsia="仿宋_GB2312" w:hAnsi="Times New Roman" w:cs="仿宋_GB2312" w:hint="eastAsia"/>
          <w:kern w:val="2"/>
          <w:sz w:val="32"/>
          <w:szCs w:val="32"/>
          <w:lang w:bidi="ar"/>
        </w:rPr>
        <w:t>对</w:t>
      </w:r>
      <w:r>
        <w:rPr>
          <w:rFonts w:ascii="Times New Roman" w:eastAsia="仿宋_GB2312" w:hAnsi="Times New Roman" w:hint="eastAsia"/>
          <w:kern w:val="2"/>
          <w:sz w:val="32"/>
          <w:szCs w:val="32"/>
          <w:lang w:bidi="ar"/>
        </w:rPr>
        <w:t>广州市特色制造业、服务</w:t>
      </w:r>
      <w:r>
        <w:rPr>
          <w:rFonts w:ascii="仿宋_GB2312" w:eastAsia="仿宋_GB2312" w:hAnsi="Times New Roman" w:cs="仿宋_GB2312" w:hint="eastAsia"/>
          <w:kern w:val="2"/>
          <w:sz w:val="32"/>
          <w:szCs w:val="32"/>
          <w:lang w:bidi="ar"/>
        </w:rPr>
        <w:t>业</w:t>
      </w:r>
      <w:r>
        <w:rPr>
          <w:rFonts w:ascii="Times New Roman" w:eastAsia="仿宋_GB2312" w:hAnsi="Times New Roman" w:hint="eastAsia"/>
          <w:kern w:val="2"/>
          <w:sz w:val="32"/>
          <w:szCs w:val="32"/>
          <w:lang w:bidi="ar"/>
        </w:rPr>
        <w:t>开展</w:t>
      </w:r>
      <w:r>
        <w:rPr>
          <w:rFonts w:ascii="仿宋_GB2312" w:eastAsia="仿宋_GB2312" w:hAnsi="Times New Roman" w:cs="仿宋_GB2312" w:hint="eastAsia"/>
          <w:kern w:val="2"/>
          <w:sz w:val="32"/>
          <w:szCs w:val="32"/>
          <w:lang w:bidi="ar"/>
        </w:rPr>
        <w:t>差异化分析</w:t>
      </w:r>
      <w:r>
        <w:rPr>
          <w:rFonts w:ascii="Times New Roman" w:eastAsia="仿宋_GB2312" w:hAnsi="Times New Roman" w:hint="eastAsia"/>
          <w:kern w:val="2"/>
          <w:sz w:val="32"/>
          <w:szCs w:val="32"/>
          <w:lang w:bidi="ar"/>
        </w:rPr>
        <w:t>，</w:t>
      </w:r>
      <w:r>
        <w:rPr>
          <w:rFonts w:ascii="仿宋_GB2312" w:eastAsia="仿宋_GB2312" w:hAnsi="Times New Roman" w:cs="仿宋_GB2312" w:hint="eastAsia"/>
          <w:kern w:val="2"/>
          <w:sz w:val="32"/>
          <w:szCs w:val="32"/>
          <w:lang w:bidi="ar"/>
        </w:rPr>
        <w:t>寻求企业自主合</w:t>
      </w:r>
      <w:proofErr w:type="gramStart"/>
      <w:r>
        <w:rPr>
          <w:rFonts w:ascii="仿宋_GB2312" w:eastAsia="仿宋_GB2312" w:hAnsi="Times New Roman" w:cs="仿宋_GB2312" w:hint="eastAsia"/>
          <w:kern w:val="2"/>
          <w:sz w:val="32"/>
          <w:szCs w:val="32"/>
          <w:lang w:bidi="ar"/>
        </w:rPr>
        <w:t>规</w:t>
      </w:r>
      <w:proofErr w:type="gramEnd"/>
      <w:r>
        <w:rPr>
          <w:rFonts w:ascii="仿宋_GB2312" w:eastAsia="仿宋_GB2312" w:hAnsi="Times New Roman" w:cs="仿宋_GB2312" w:hint="eastAsia"/>
          <w:kern w:val="2"/>
          <w:sz w:val="32"/>
          <w:szCs w:val="32"/>
          <w:lang w:bidi="ar"/>
        </w:rPr>
        <w:t>动力与政府外部</w:t>
      </w:r>
      <w:r>
        <w:rPr>
          <w:rFonts w:ascii="Times New Roman" w:eastAsia="仿宋_GB2312" w:hAnsi="Times New Roman" w:hint="eastAsia"/>
          <w:kern w:val="2"/>
          <w:sz w:val="32"/>
          <w:szCs w:val="32"/>
          <w:lang w:bidi="ar"/>
        </w:rPr>
        <w:t>引导</w:t>
      </w:r>
      <w:r>
        <w:rPr>
          <w:rFonts w:ascii="仿宋_GB2312" w:eastAsia="仿宋_GB2312" w:hAnsi="Times New Roman" w:cs="仿宋_GB2312" w:hint="eastAsia"/>
          <w:kern w:val="2"/>
          <w:sz w:val="32"/>
          <w:szCs w:val="32"/>
          <w:lang w:bidi="ar"/>
        </w:rPr>
        <w:t>的平衡点。</w:t>
      </w:r>
    </w:p>
    <w:p w:rsidR="00B2722F" w:rsidRDefault="00B2722F" w:rsidP="00B2722F">
      <w:pPr>
        <w:pStyle w:val="a3"/>
        <w:widowControl/>
        <w:autoSpaceDE w:val="0"/>
        <w:spacing w:beforeAutospacing="0" w:afterAutospacing="0" w:line="560" w:lineRule="exact"/>
        <w:ind w:firstLineChars="200" w:firstLine="643"/>
        <w:rPr>
          <w:rFonts w:ascii="Times New Roman" w:eastAsia="仿宋_GB2312" w:hAnsi="Times New Roman"/>
          <w:kern w:val="2"/>
          <w:sz w:val="32"/>
          <w:szCs w:val="32"/>
        </w:rPr>
      </w:pPr>
      <w:r>
        <w:rPr>
          <w:rFonts w:ascii="仿宋_GB2312" w:eastAsia="仿宋_GB2312" w:hAnsi="Times New Roman" w:cs="仿宋_GB2312" w:hint="eastAsia"/>
          <w:b/>
          <w:kern w:val="2"/>
          <w:sz w:val="32"/>
          <w:szCs w:val="32"/>
          <w:lang w:bidi="ar"/>
        </w:rPr>
        <w:t>研究意义：</w:t>
      </w:r>
      <w:r>
        <w:rPr>
          <w:rFonts w:ascii="Times New Roman" w:eastAsia="仿宋_GB2312" w:hAnsi="Times New Roman" w:hint="eastAsia"/>
          <w:kern w:val="2"/>
          <w:sz w:val="32"/>
          <w:szCs w:val="32"/>
          <w:lang w:bidi="ar"/>
        </w:rPr>
        <w:t>为</w:t>
      </w:r>
      <w:r>
        <w:rPr>
          <w:rFonts w:ascii="仿宋_GB2312" w:eastAsia="仿宋_GB2312" w:hAnsi="Times New Roman" w:cs="仿宋_GB2312" w:hint="eastAsia"/>
          <w:kern w:val="2"/>
          <w:sz w:val="32"/>
          <w:szCs w:val="32"/>
          <w:lang w:bidi="ar"/>
        </w:rPr>
        <w:t>中小企业</w:t>
      </w:r>
      <w:r>
        <w:rPr>
          <w:rFonts w:ascii="Times New Roman" w:eastAsia="仿宋_GB2312" w:hAnsi="Times New Roman" w:hint="eastAsia"/>
          <w:kern w:val="2"/>
          <w:sz w:val="32"/>
          <w:szCs w:val="32"/>
          <w:lang w:bidi="ar"/>
        </w:rPr>
        <w:t>低成本、高效、便捷</w:t>
      </w:r>
      <w:r>
        <w:rPr>
          <w:rFonts w:ascii="仿宋_GB2312" w:eastAsia="仿宋_GB2312" w:hAnsi="Times New Roman" w:cs="仿宋_GB2312" w:hint="eastAsia"/>
          <w:kern w:val="2"/>
          <w:sz w:val="32"/>
          <w:szCs w:val="32"/>
          <w:lang w:bidi="ar"/>
        </w:rPr>
        <w:t>法律服务供给体系建设</w:t>
      </w:r>
      <w:r>
        <w:rPr>
          <w:rFonts w:ascii="Times New Roman" w:eastAsia="仿宋_GB2312" w:hAnsi="Times New Roman" w:hint="eastAsia"/>
          <w:kern w:val="2"/>
          <w:sz w:val="32"/>
          <w:szCs w:val="32"/>
          <w:lang w:bidi="ar"/>
        </w:rPr>
        <w:t>提供具体的对策建议。跨越单纯的经济成本</w:t>
      </w:r>
      <w:proofErr w:type="gramStart"/>
      <w:r>
        <w:rPr>
          <w:rFonts w:ascii="Times New Roman" w:eastAsia="仿宋_GB2312" w:hAnsi="Times New Roman" w:hint="eastAsia"/>
          <w:kern w:val="2"/>
          <w:sz w:val="32"/>
          <w:szCs w:val="32"/>
          <w:lang w:bidi="ar"/>
        </w:rPr>
        <w:t>考量</w:t>
      </w:r>
      <w:proofErr w:type="gramEnd"/>
      <w:r>
        <w:rPr>
          <w:rFonts w:ascii="Times New Roman" w:eastAsia="仿宋_GB2312" w:hAnsi="Times New Roman" w:hint="eastAsia"/>
          <w:kern w:val="2"/>
          <w:sz w:val="32"/>
          <w:szCs w:val="32"/>
          <w:lang w:bidi="ar"/>
        </w:rPr>
        <w:t>，政府监管与企业经营权之间寻求公法层面的价值平衡。探索市场化路径，避免“合规成本”过多地由政府承担。</w:t>
      </w:r>
    </w:p>
    <w:p w:rsidR="00B2722F" w:rsidRDefault="00B2722F" w:rsidP="00B2722F">
      <w:pPr>
        <w:pStyle w:val="2"/>
        <w:autoSpaceDE w:val="0"/>
        <w:ind w:firstLineChars="200" w:firstLine="643"/>
        <w:rPr>
          <w:rFonts w:ascii="Times New Roman" w:hAnsi="Times New Roman"/>
          <w:sz w:val="32"/>
          <w:szCs w:val="32"/>
        </w:rPr>
      </w:pPr>
      <w:r>
        <w:rPr>
          <w:rFonts w:ascii="黑体" w:hAnsi="宋体" w:cs="黑体"/>
          <w:sz w:val="32"/>
          <w:szCs w:val="32"/>
        </w:rPr>
        <w:t>三、</w:t>
      </w:r>
      <w:r>
        <w:rPr>
          <w:rFonts w:ascii="Times New Roman" w:hAnsi="Times New Roman"/>
          <w:sz w:val="32"/>
          <w:szCs w:val="32"/>
        </w:rPr>
        <w:t>“</w:t>
      </w:r>
      <w:r>
        <w:rPr>
          <w:rFonts w:ascii="黑体" w:hAnsi="宋体" w:cs="黑体"/>
          <w:sz w:val="32"/>
          <w:szCs w:val="32"/>
        </w:rPr>
        <w:t>短视频</w:t>
      </w:r>
      <w:r>
        <w:rPr>
          <w:rFonts w:ascii="Times New Roman" w:hAnsi="Times New Roman"/>
          <w:sz w:val="32"/>
          <w:szCs w:val="32"/>
        </w:rPr>
        <w:t>+</w:t>
      </w:r>
      <w:r>
        <w:rPr>
          <w:rFonts w:ascii="黑体" w:hAnsi="宋体" w:cs="黑体"/>
          <w:sz w:val="32"/>
          <w:szCs w:val="32"/>
        </w:rPr>
        <w:t>直播</w:t>
      </w:r>
      <w:r>
        <w:rPr>
          <w:rFonts w:ascii="Times New Roman" w:hAnsi="Times New Roman"/>
          <w:sz w:val="32"/>
          <w:szCs w:val="32"/>
        </w:rPr>
        <w:t>”</w:t>
      </w:r>
      <w:r>
        <w:rPr>
          <w:rFonts w:ascii="黑体" w:hAnsi="宋体" w:cs="黑体"/>
          <w:sz w:val="32"/>
          <w:szCs w:val="32"/>
        </w:rPr>
        <w:t>电商模式知识产权侵权责任研究</w:t>
      </w:r>
    </w:p>
    <w:p w:rsidR="00B2722F" w:rsidRDefault="00B2722F" w:rsidP="00B2722F">
      <w:pPr>
        <w:autoSpaceDE w:val="0"/>
        <w:spacing w:line="560" w:lineRule="exact"/>
        <w:ind w:firstLineChars="200" w:firstLine="643"/>
        <w:rPr>
          <w:rFonts w:ascii="Times New Roman" w:eastAsia="仿宋_GB2312" w:hAnsi="Times New Roman"/>
          <w:sz w:val="32"/>
          <w:szCs w:val="32"/>
        </w:rPr>
      </w:pPr>
      <w:r>
        <w:rPr>
          <w:rFonts w:ascii="仿宋_GB2312" w:eastAsia="仿宋_GB2312" w:hAnsi="Times New Roman" w:cs="仿宋_GB2312" w:hint="eastAsia"/>
          <w:b/>
          <w:sz w:val="32"/>
          <w:szCs w:val="32"/>
          <w:lang w:bidi="ar"/>
        </w:rPr>
        <w:t>选题建议：</w:t>
      </w:r>
      <w:r>
        <w:rPr>
          <w:rFonts w:ascii="仿宋_GB2312" w:eastAsia="仿宋_GB2312" w:hAnsi="Times New Roman" w:cs="仿宋_GB2312" w:hint="eastAsia"/>
          <w:sz w:val="32"/>
          <w:szCs w:val="32"/>
          <w:lang w:bidi="ar"/>
        </w:rPr>
        <w:t>通过司法实践与典型案例分析，对</w:t>
      </w:r>
      <w:r>
        <w:rPr>
          <w:rFonts w:ascii="Times New Roman" w:eastAsia="仿宋_GB2312" w:hAnsi="Times New Roman"/>
          <w:sz w:val="32"/>
          <w:szCs w:val="32"/>
          <w:lang w:bidi="ar"/>
        </w:rPr>
        <w:t>“</w:t>
      </w:r>
      <w:r>
        <w:rPr>
          <w:rFonts w:ascii="仿宋_GB2312" w:eastAsia="仿宋_GB2312" w:hAnsi="Times New Roman" w:cs="仿宋_GB2312" w:hint="eastAsia"/>
          <w:sz w:val="32"/>
          <w:szCs w:val="32"/>
          <w:lang w:bidi="ar"/>
        </w:rPr>
        <w:t xml:space="preserve">短视频 </w:t>
      </w:r>
      <w:r>
        <w:rPr>
          <w:rFonts w:ascii="Times New Roman" w:eastAsia="仿宋_GB2312" w:hAnsi="Times New Roman"/>
          <w:sz w:val="32"/>
          <w:szCs w:val="32"/>
          <w:lang w:bidi="ar"/>
        </w:rPr>
        <w:t xml:space="preserve">+ </w:t>
      </w:r>
      <w:r>
        <w:rPr>
          <w:rFonts w:ascii="仿宋_GB2312" w:eastAsia="仿宋_GB2312" w:hAnsi="Times New Roman" w:cs="仿宋_GB2312" w:hint="eastAsia"/>
          <w:sz w:val="32"/>
          <w:szCs w:val="32"/>
          <w:lang w:bidi="ar"/>
        </w:rPr>
        <w:t>直播</w:t>
      </w:r>
      <w:r>
        <w:rPr>
          <w:rFonts w:ascii="Times New Roman" w:eastAsia="仿宋_GB2312" w:hAnsi="Times New Roman"/>
          <w:sz w:val="32"/>
          <w:szCs w:val="32"/>
          <w:lang w:bidi="ar"/>
        </w:rPr>
        <w:t>”“</w:t>
      </w:r>
      <w:r>
        <w:rPr>
          <w:rFonts w:ascii="仿宋_GB2312" w:eastAsia="仿宋_GB2312" w:hAnsi="Times New Roman" w:cs="仿宋_GB2312" w:hint="eastAsia"/>
          <w:sz w:val="32"/>
          <w:szCs w:val="32"/>
          <w:lang w:bidi="ar"/>
        </w:rPr>
        <w:t>私域电商直播</w:t>
      </w:r>
      <w:r>
        <w:rPr>
          <w:rFonts w:ascii="Times New Roman" w:eastAsia="仿宋_GB2312" w:hAnsi="Times New Roman"/>
          <w:sz w:val="32"/>
          <w:szCs w:val="32"/>
          <w:lang w:bidi="ar"/>
        </w:rPr>
        <w:t>”</w:t>
      </w:r>
      <w:r>
        <w:rPr>
          <w:rFonts w:ascii="仿宋_GB2312" w:eastAsia="仿宋_GB2312" w:hAnsi="Times New Roman" w:cs="仿宋_GB2312" w:hint="eastAsia"/>
          <w:sz w:val="32"/>
          <w:szCs w:val="32"/>
          <w:lang w:bidi="ar"/>
        </w:rPr>
        <w:t>等非</w:t>
      </w:r>
      <w:proofErr w:type="gramStart"/>
      <w:r>
        <w:rPr>
          <w:rFonts w:ascii="仿宋_GB2312" w:eastAsia="仿宋_GB2312" w:hAnsi="Times New Roman" w:cs="仿宋_GB2312" w:hint="eastAsia"/>
          <w:sz w:val="32"/>
          <w:szCs w:val="32"/>
          <w:lang w:bidi="ar"/>
        </w:rPr>
        <w:t>传统电</w:t>
      </w:r>
      <w:proofErr w:type="gramEnd"/>
      <w:r>
        <w:rPr>
          <w:rFonts w:ascii="仿宋_GB2312" w:eastAsia="仿宋_GB2312" w:hAnsi="Times New Roman" w:cs="仿宋_GB2312" w:hint="eastAsia"/>
          <w:sz w:val="32"/>
          <w:szCs w:val="32"/>
          <w:lang w:bidi="ar"/>
        </w:rPr>
        <w:t>商模式进行性质界定，围绕该类电商模式所涉及的知识产权侵权进行类型化分析，聚焦侵权各类责任主体进行责任厘定，并提出规制路径与监管完善建议。</w:t>
      </w:r>
    </w:p>
    <w:p w:rsidR="00B2722F" w:rsidRDefault="00B2722F" w:rsidP="00B2722F">
      <w:pPr>
        <w:autoSpaceDE w:val="0"/>
        <w:spacing w:line="560" w:lineRule="exact"/>
        <w:ind w:firstLineChars="200" w:firstLine="643"/>
        <w:rPr>
          <w:rFonts w:ascii="Times New Roman" w:eastAsia="仿宋_GB2312" w:hAnsi="Times New Roman"/>
          <w:sz w:val="32"/>
          <w:szCs w:val="32"/>
          <w:lang w:bidi="ar"/>
        </w:rPr>
      </w:pPr>
      <w:r>
        <w:rPr>
          <w:rFonts w:ascii="仿宋_GB2312" w:eastAsia="仿宋_GB2312" w:hAnsi="Times New Roman" w:cs="仿宋_GB2312" w:hint="eastAsia"/>
          <w:b/>
          <w:sz w:val="32"/>
          <w:szCs w:val="32"/>
          <w:lang w:bidi="ar"/>
        </w:rPr>
        <w:t>研究意义：</w:t>
      </w:r>
      <w:r>
        <w:rPr>
          <w:rFonts w:ascii="仿宋_GB2312" w:eastAsia="仿宋_GB2312" w:hAnsi="Times New Roman" w:cs="仿宋_GB2312" w:hint="eastAsia"/>
          <w:sz w:val="32"/>
          <w:szCs w:val="32"/>
          <w:lang w:bidi="ar"/>
        </w:rPr>
        <w:t>广州作为互联网产业重镇以及电商之都，在行业监管方面面临非</w:t>
      </w:r>
      <w:proofErr w:type="gramStart"/>
      <w:r>
        <w:rPr>
          <w:rFonts w:ascii="仿宋_GB2312" w:eastAsia="仿宋_GB2312" w:hAnsi="Times New Roman" w:cs="仿宋_GB2312" w:hint="eastAsia"/>
          <w:sz w:val="32"/>
          <w:szCs w:val="32"/>
          <w:lang w:bidi="ar"/>
        </w:rPr>
        <w:t>传统电商模式带来</w:t>
      </w:r>
      <w:proofErr w:type="gramEnd"/>
      <w:r>
        <w:rPr>
          <w:rFonts w:ascii="仿宋_GB2312" w:eastAsia="仿宋_GB2312" w:hAnsi="Times New Roman" w:cs="仿宋_GB2312" w:hint="eastAsia"/>
          <w:sz w:val="32"/>
          <w:szCs w:val="32"/>
          <w:lang w:bidi="ar"/>
        </w:rPr>
        <w:t>的新挑战。本研究通过分析</w:t>
      </w:r>
      <w:r>
        <w:rPr>
          <w:rFonts w:ascii="Times New Roman" w:eastAsia="仿宋_GB2312" w:hAnsi="Times New Roman"/>
          <w:sz w:val="32"/>
          <w:szCs w:val="32"/>
          <w:lang w:bidi="ar"/>
        </w:rPr>
        <w:t>“</w:t>
      </w:r>
      <w:r>
        <w:rPr>
          <w:rFonts w:ascii="仿宋_GB2312" w:eastAsia="仿宋_GB2312" w:hAnsi="Times New Roman" w:cs="仿宋_GB2312" w:hint="eastAsia"/>
          <w:sz w:val="32"/>
          <w:szCs w:val="32"/>
          <w:lang w:bidi="ar"/>
        </w:rPr>
        <w:t xml:space="preserve">短视频 </w:t>
      </w:r>
      <w:r>
        <w:rPr>
          <w:rFonts w:ascii="Times New Roman" w:eastAsia="仿宋_GB2312" w:hAnsi="Times New Roman"/>
          <w:sz w:val="32"/>
          <w:szCs w:val="32"/>
          <w:lang w:bidi="ar"/>
        </w:rPr>
        <w:t xml:space="preserve">+ </w:t>
      </w:r>
      <w:r>
        <w:rPr>
          <w:rFonts w:ascii="仿宋_GB2312" w:eastAsia="仿宋_GB2312" w:hAnsi="Times New Roman" w:cs="仿宋_GB2312" w:hint="eastAsia"/>
          <w:sz w:val="32"/>
          <w:szCs w:val="32"/>
          <w:lang w:bidi="ar"/>
        </w:rPr>
        <w:t>直播</w:t>
      </w:r>
      <w:r>
        <w:rPr>
          <w:rFonts w:ascii="Times New Roman" w:eastAsia="仿宋_GB2312" w:hAnsi="Times New Roman"/>
          <w:sz w:val="32"/>
          <w:szCs w:val="32"/>
          <w:lang w:bidi="ar"/>
        </w:rPr>
        <w:t>”“</w:t>
      </w:r>
      <w:r>
        <w:rPr>
          <w:rFonts w:ascii="仿宋_GB2312" w:eastAsia="仿宋_GB2312" w:hAnsi="Times New Roman" w:cs="仿宋_GB2312" w:hint="eastAsia"/>
          <w:sz w:val="32"/>
          <w:szCs w:val="32"/>
          <w:lang w:bidi="ar"/>
        </w:rPr>
        <w:t>私域电商直播</w:t>
      </w:r>
      <w:r>
        <w:rPr>
          <w:rFonts w:ascii="Times New Roman" w:eastAsia="仿宋_GB2312" w:hAnsi="Times New Roman"/>
          <w:sz w:val="32"/>
          <w:szCs w:val="32"/>
          <w:lang w:bidi="ar"/>
        </w:rPr>
        <w:t>”</w:t>
      </w:r>
      <w:r>
        <w:rPr>
          <w:rFonts w:ascii="仿宋_GB2312" w:eastAsia="仿宋_GB2312" w:hAnsi="Times New Roman" w:cs="仿宋_GB2312" w:hint="eastAsia"/>
          <w:sz w:val="32"/>
          <w:szCs w:val="32"/>
          <w:lang w:bidi="ar"/>
        </w:rPr>
        <w:t>等非</w:t>
      </w:r>
      <w:proofErr w:type="gramStart"/>
      <w:r>
        <w:rPr>
          <w:rFonts w:ascii="仿宋_GB2312" w:eastAsia="仿宋_GB2312" w:hAnsi="Times New Roman" w:cs="仿宋_GB2312" w:hint="eastAsia"/>
          <w:sz w:val="32"/>
          <w:szCs w:val="32"/>
          <w:lang w:bidi="ar"/>
        </w:rPr>
        <w:t>传统电商模式带来</w:t>
      </w:r>
      <w:proofErr w:type="gramEnd"/>
      <w:r>
        <w:rPr>
          <w:rFonts w:ascii="仿宋_GB2312" w:eastAsia="仿宋_GB2312" w:hAnsi="Times New Roman" w:cs="仿宋_GB2312" w:hint="eastAsia"/>
          <w:sz w:val="32"/>
          <w:szCs w:val="32"/>
          <w:lang w:bidi="ar"/>
        </w:rPr>
        <w:t>的现实问题与制度不足，为监管政策制定、行业标准完善、协同治理机制构建提供理论储备及对策支持，助力减少</w:t>
      </w:r>
      <w:r>
        <w:rPr>
          <w:rFonts w:ascii="仿宋_GB2312" w:eastAsia="仿宋_GB2312" w:hAnsi="Times New Roman" w:cs="仿宋_GB2312" w:hint="eastAsia"/>
          <w:sz w:val="32"/>
          <w:szCs w:val="32"/>
          <w:lang w:bidi="ar"/>
        </w:rPr>
        <w:lastRenderedPageBreak/>
        <w:t>侵权行为、保护原创、维护公平竞争环境，推动广州电商行业健康可持续发展。</w:t>
      </w:r>
      <w:r>
        <w:rPr>
          <w:rFonts w:ascii="Times New Roman" w:eastAsia="仿宋_GB2312" w:hAnsi="Times New Roman" w:hint="eastAsia"/>
          <w:sz w:val="32"/>
          <w:szCs w:val="32"/>
          <w:lang w:bidi="ar"/>
        </w:rPr>
        <w:t>可</w:t>
      </w:r>
      <w:proofErr w:type="gramStart"/>
      <w:r>
        <w:rPr>
          <w:rFonts w:ascii="仿宋_GB2312" w:eastAsia="仿宋_GB2312" w:hAnsi="Times New Roman" w:cs="仿宋_GB2312" w:hint="eastAsia"/>
          <w:sz w:val="32"/>
          <w:szCs w:val="32"/>
          <w:lang w:bidi="ar"/>
        </w:rPr>
        <w:t>拓展至粤港澳</w:t>
      </w:r>
      <w:proofErr w:type="gramEnd"/>
      <w:r>
        <w:rPr>
          <w:rFonts w:ascii="仿宋_GB2312" w:eastAsia="仿宋_GB2312" w:hAnsi="Times New Roman" w:cs="仿宋_GB2312" w:hint="eastAsia"/>
          <w:sz w:val="32"/>
          <w:szCs w:val="32"/>
          <w:lang w:bidi="ar"/>
        </w:rPr>
        <w:t>大湾区跨境数字经济规则衔接与知识产权协同治理</w:t>
      </w:r>
      <w:r>
        <w:rPr>
          <w:rFonts w:ascii="Times New Roman" w:eastAsia="仿宋_GB2312" w:hAnsi="Times New Roman" w:hint="eastAsia"/>
          <w:sz w:val="32"/>
          <w:szCs w:val="32"/>
          <w:lang w:bidi="ar"/>
        </w:rPr>
        <w:t>领域。</w:t>
      </w:r>
    </w:p>
    <w:p w:rsidR="00B2722F" w:rsidRDefault="00B2722F" w:rsidP="00B2722F">
      <w:pPr>
        <w:autoSpaceDE w:val="0"/>
        <w:spacing w:line="560" w:lineRule="exact"/>
        <w:ind w:leftChars="200" w:left="420" w:firstLineChars="200" w:firstLine="640"/>
        <w:rPr>
          <w:rFonts w:ascii="Times New Roman" w:hAnsi="Times New Roman"/>
          <w:sz w:val="32"/>
          <w:szCs w:val="32"/>
        </w:rPr>
      </w:pPr>
      <w:r>
        <w:rPr>
          <w:rFonts w:ascii="黑体" w:eastAsia="黑体" w:hAnsi="宋体" w:cs="黑体"/>
          <w:sz w:val="32"/>
          <w:szCs w:val="32"/>
        </w:rPr>
        <w:t>四、近代广州法学教育发展历史研究（</w:t>
      </w:r>
      <w:r>
        <w:rPr>
          <w:rFonts w:ascii="Times New Roman" w:eastAsia="黑体" w:hAnsi="Times New Roman"/>
          <w:sz w:val="32"/>
          <w:szCs w:val="32"/>
        </w:rPr>
        <w:t>1900-1952</w:t>
      </w:r>
      <w:r>
        <w:rPr>
          <w:rFonts w:ascii="黑体" w:eastAsia="黑体" w:hAnsi="宋体" w:cs="黑体"/>
          <w:sz w:val="32"/>
          <w:szCs w:val="32"/>
        </w:rPr>
        <w:t>年）</w:t>
      </w:r>
    </w:p>
    <w:p w:rsidR="00B2722F" w:rsidRDefault="00B2722F" w:rsidP="00B2722F">
      <w:pPr>
        <w:autoSpaceDE w:val="0"/>
        <w:spacing w:line="560" w:lineRule="exact"/>
        <w:ind w:firstLineChars="200" w:firstLine="643"/>
        <w:rPr>
          <w:rFonts w:ascii="Times New Roman" w:eastAsia="仿宋_GB2312" w:hAnsi="Times New Roman"/>
          <w:sz w:val="32"/>
          <w:szCs w:val="32"/>
        </w:rPr>
      </w:pPr>
      <w:r>
        <w:rPr>
          <w:rFonts w:ascii="仿宋_GB2312" w:eastAsia="仿宋_GB2312" w:hAnsi="Times New Roman" w:cs="仿宋_GB2312" w:hint="eastAsia"/>
          <w:b/>
          <w:sz w:val="32"/>
          <w:szCs w:val="32"/>
          <w:lang w:bidi="ar"/>
        </w:rPr>
        <w:t>选题建议：</w:t>
      </w:r>
      <w:r>
        <w:rPr>
          <w:rFonts w:ascii="仿宋_GB2312" w:eastAsia="仿宋_GB2312" w:hAnsi="Times New Roman" w:cs="仿宋_GB2312" w:hint="eastAsia"/>
          <w:sz w:val="32"/>
          <w:szCs w:val="32"/>
          <w:lang w:bidi="ar"/>
        </w:rPr>
        <w:t>以广东法政学堂和私立广州法政学校为核心，通过挖掘办学档案、章程及师生史料，分析两校的教育模式与特色。重点梳理其对广州法治建设的人才与文化贡献，结合当代需求提炼可借鉴的历史经验</w:t>
      </w:r>
      <w:r>
        <w:rPr>
          <w:rFonts w:ascii="Times New Roman" w:eastAsia="仿宋_GB2312" w:hAnsi="Times New Roman" w:hint="eastAsia"/>
          <w:sz w:val="32"/>
          <w:szCs w:val="32"/>
          <w:lang w:bidi="ar"/>
        </w:rPr>
        <w:t>，考察历史积淀对当今构建大湾区法治共识及法治文化底蕴的支撑作用</w:t>
      </w:r>
      <w:r>
        <w:rPr>
          <w:rFonts w:ascii="仿宋_GB2312" w:eastAsia="仿宋_GB2312" w:hAnsi="Times New Roman" w:cs="仿宋_GB2312" w:hint="eastAsia"/>
          <w:sz w:val="32"/>
          <w:szCs w:val="32"/>
          <w:lang w:bidi="ar"/>
        </w:rPr>
        <w:t>。</w:t>
      </w:r>
      <w:r>
        <w:rPr>
          <w:rFonts w:ascii="Times New Roman" w:eastAsia="仿宋_GB2312" w:hAnsi="Times New Roman" w:hint="eastAsia"/>
          <w:sz w:val="32"/>
          <w:szCs w:val="32"/>
          <w:lang w:bidi="ar"/>
        </w:rPr>
        <w:t>研究视角，</w:t>
      </w:r>
      <w:r>
        <w:rPr>
          <w:rFonts w:ascii="仿宋_GB2312" w:eastAsia="仿宋_GB2312" w:hAnsi="Times New Roman" w:cs="仿宋_GB2312" w:hint="eastAsia"/>
          <w:sz w:val="32"/>
          <w:szCs w:val="32"/>
          <w:lang w:bidi="ar"/>
        </w:rPr>
        <w:t>可</w:t>
      </w:r>
      <w:r>
        <w:rPr>
          <w:rFonts w:ascii="Times New Roman" w:eastAsia="仿宋_GB2312" w:hAnsi="Times New Roman" w:hint="eastAsia"/>
          <w:sz w:val="32"/>
          <w:szCs w:val="32"/>
          <w:lang w:bidi="ar"/>
        </w:rPr>
        <w:t>适当涉及</w:t>
      </w:r>
      <w:r>
        <w:rPr>
          <w:rFonts w:ascii="仿宋_GB2312" w:eastAsia="仿宋_GB2312" w:hAnsi="Times New Roman" w:cs="仿宋_GB2312" w:hint="eastAsia"/>
          <w:sz w:val="32"/>
          <w:szCs w:val="32"/>
          <w:lang w:bidi="ar"/>
        </w:rPr>
        <w:t>大湾区三大法域近代以来的法学教育比较借鉴，突出大湾区兼跨大陆法系、英美法系的独到特色</w:t>
      </w:r>
      <w:r>
        <w:rPr>
          <w:rFonts w:ascii="Times New Roman" w:eastAsia="仿宋_GB2312" w:hAnsi="Times New Roman" w:hint="eastAsia"/>
          <w:sz w:val="32"/>
          <w:szCs w:val="32"/>
          <w:lang w:bidi="ar"/>
        </w:rPr>
        <w:t>。具体内容，应注意</w:t>
      </w:r>
      <w:r>
        <w:rPr>
          <w:rFonts w:ascii="仿宋_GB2312" w:eastAsia="仿宋_GB2312" w:hAnsi="Times New Roman" w:cs="仿宋_GB2312" w:hint="eastAsia"/>
          <w:sz w:val="32"/>
          <w:szCs w:val="32"/>
          <w:lang w:bidi="ar"/>
        </w:rPr>
        <w:t>历史研究的客观性、真实性。</w:t>
      </w:r>
    </w:p>
    <w:p w:rsidR="00554C55" w:rsidRDefault="00B2722F" w:rsidP="00B2722F">
      <w:r>
        <w:rPr>
          <w:rFonts w:ascii="仿宋_GB2312" w:eastAsia="仿宋_GB2312" w:hAnsi="Times New Roman" w:cs="仿宋_GB2312" w:hint="eastAsia"/>
          <w:b/>
          <w:sz w:val="32"/>
          <w:szCs w:val="32"/>
          <w:lang w:bidi="ar"/>
        </w:rPr>
        <w:t>研究意义：</w:t>
      </w:r>
      <w:r>
        <w:rPr>
          <w:rFonts w:ascii="仿宋_GB2312" w:eastAsia="仿宋_GB2312" w:hAnsi="Times New Roman" w:cs="仿宋_GB2312" w:hint="eastAsia"/>
          <w:sz w:val="32"/>
          <w:szCs w:val="32"/>
          <w:lang w:bidi="ar"/>
        </w:rPr>
        <w:t>填补华南近代法学教育史研究空白，厘清本土法学教育发展轨迹。为当代广州法治人才培养提供历史镜鉴，助力区域法治文化传承</w:t>
      </w:r>
      <w:r>
        <w:rPr>
          <w:rFonts w:ascii="Times New Roman" w:eastAsia="仿宋_GB2312" w:hAnsi="Times New Roman" w:hint="eastAsia"/>
          <w:sz w:val="32"/>
          <w:szCs w:val="32"/>
          <w:lang w:bidi="ar"/>
        </w:rPr>
        <w:t>，实现“以史资政”</w:t>
      </w:r>
      <w:r>
        <w:rPr>
          <w:rFonts w:ascii="仿宋_GB2312" w:eastAsia="仿宋_GB2312" w:hAnsi="Times New Roman" w:cs="仿宋_GB2312" w:hint="eastAsia"/>
          <w:sz w:val="32"/>
          <w:szCs w:val="32"/>
          <w:lang w:bidi="ar"/>
        </w:rPr>
        <w:t>。</w:t>
      </w:r>
      <w:bookmarkStart w:id="0" w:name="_GoBack"/>
      <w:bookmarkEnd w:id="0"/>
    </w:p>
    <w:sectPr w:rsidR="00554C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22F"/>
    <w:rsid w:val="00554C55"/>
    <w:rsid w:val="00B2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22F"/>
    <w:pPr>
      <w:widowControl w:val="0"/>
      <w:jc w:val="both"/>
    </w:pPr>
    <w:rPr>
      <w:rFonts w:ascii="Calibri" w:eastAsia="宋体" w:hAnsi="Calibri" w:cs="Times New Roman"/>
      <w:szCs w:val="24"/>
    </w:rPr>
  </w:style>
  <w:style w:type="paragraph" w:styleId="2">
    <w:name w:val="heading 2"/>
    <w:basedOn w:val="a"/>
    <w:next w:val="a"/>
    <w:link w:val="2Char"/>
    <w:semiHidden/>
    <w:unhideWhenUsed/>
    <w:qFormat/>
    <w:rsid w:val="00B2722F"/>
    <w:pPr>
      <w:keepNext/>
      <w:keepLines/>
      <w:spacing w:line="560" w:lineRule="exact"/>
      <w:outlineLvl w:val="1"/>
    </w:pPr>
    <w:rPr>
      <w:rFonts w:ascii="Arial" w:eastAsia="黑体" w:hAnsi="Arial"/>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rsid w:val="00B2722F"/>
    <w:rPr>
      <w:rFonts w:ascii="Arial" w:eastAsia="黑体" w:hAnsi="Arial" w:cs="Times New Roman"/>
      <w:b/>
      <w:szCs w:val="21"/>
    </w:rPr>
  </w:style>
  <w:style w:type="paragraph" w:styleId="a3">
    <w:name w:val="Normal (Web)"/>
    <w:basedOn w:val="a"/>
    <w:qFormat/>
    <w:rsid w:val="00B2722F"/>
    <w:pPr>
      <w:spacing w:beforeAutospacing="1"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22F"/>
    <w:pPr>
      <w:widowControl w:val="0"/>
      <w:jc w:val="both"/>
    </w:pPr>
    <w:rPr>
      <w:rFonts w:ascii="Calibri" w:eastAsia="宋体" w:hAnsi="Calibri" w:cs="Times New Roman"/>
      <w:szCs w:val="24"/>
    </w:rPr>
  </w:style>
  <w:style w:type="paragraph" w:styleId="2">
    <w:name w:val="heading 2"/>
    <w:basedOn w:val="a"/>
    <w:next w:val="a"/>
    <w:link w:val="2Char"/>
    <w:semiHidden/>
    <w:unhideWhenUsed/>
    <w:qFormat/>
    <w:rsid w:val="00B2722F"/>
    <w:pPr>
      <w:keepNext/>
      <w:keepLines/>
      <w:spacing w:line="560" w:lineRule="exact"/>
      <w:outlineLvl w:val="1"/>
    </w:pPr>
    <w:rPr>
      <w:rFonts w:ascii="Arial" w:eastAsia="黑体" w:hAnsi="Arial"/>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rsid w:val="00B2722F"/>
    <w:rPr>
      <w:rFonts w:ascii="Arial" w:eastAsia="黑体" w:hAnsi="Arial" w:cs="Times New Roman"/>
      <w:b/>
      <w:szCs w:val="21"/>
    </w:rPr>
  </w:style>
  <w:style w:type="paragraph" w:styleId="a3">
    <w:name w:val="Normal (Web)"/>
    <w:basedOn w:val="a"/>
    <w:qFormat/>
    <w:rsid w:val="00B2722F"/>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 chen</dc:creator>
  <cp:lastModifiedBy>cong chen</cp:lastModifiedBy>
  <cp:revision>1</cp:revision>
  <dcterms:created xsi:type="dcterms:W3CDTF">2026-04-01T02:16:00Z</dcterms:created>
  <dcterms:modified xsi:type="dcterms:W3CDTF">2026-04-01T02:17:00Z</dcterms:modified>
</cp:coreProperties>
</file>